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b/>
          <w:bCs/>
          <w:sz w:val="27"/>
          <w:szCs w:val="27"/>
          <w:lang w:val="ro-RO" w:eastAsia="ro-RO"/>
        </w:rPr>
        <w:t>Precizari pentru entitatile publice</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Prevederile </w:t>
      </w:r>
      <w:r w:rsidRPr="00156A5F">
        <w:rPr>
          <w:rFonts w:ascii="Arial" w:eastAsia="Times New Roman" w:hAnsi="Arial" w:cs="Arial"/>
          <w:b/>
          <w:bCs/>
          <w:color w:val="FF0000"/>
          <w:sz w:val="27"/>
          <w:szCs w:val="27"/>
          <w:lang w:val="ro-RO" w:eastAsia="ro-RO"/>
        </w:rPr>
        <w:t>O.M.F.P. nr. 3.898</w:t>
      </w:r>
      <w:r w:rsidRPr="00156A5F">
        <w:rPr>
          <w:rFonts w:ascii="Arial" w:eastAsia="Times New Roman" w:hAnsi="Arial" w:cs="Arial"/>
          <w:b/>
          <w:bCs/>
          <w:sz w:val="27"/>
          <w:szCs w:val="27"/>
          <w:lang w:val="ro-RO" w:eastAsia="ro-RO"/>
        </w:rPr>
        <w:t> din 27 decembrie 2018 pentru modificarea și completarea </w:t>
      </w:r>
      <w:hyperlink r:id="rId4" w:tgtFrame="_blank" w:history="1">
        <w:r w:rsidRPr="00156A5F">
          <w:rPr>
            <w:rFonts w:ascii="Arial" w:eastAsia="Times New Roman" w:hAnsi="Arial" w:cs="Arial"/>
            <w:b/>
            <w:bCs/>
            <w:color w:val="1155CC"/>
            <w:sz w:val="27"/>
            <w:szCs w:val="27"/>
            <w:u w:val="single"/>
            <w:lang w:val="ro-RO" w:eastAsia="ro-RO"/>
          </w:rPr>
          <w:t>Normelor metodologice</w:t>
        </w:r>
      </w:hyperlink>
      <w:r w:rsidRPr="00156A5F">
        <w:rPr>
          <w:rFonts w:ascii="Arial" w:eastAsia="Times New Roman" w:hAnsi="Arial" w:cs="Arial"/>
          <w:b/>
          <w:bCs/>
          <w:sz w:val="27"/>
          <w:szCs w:val="27"/>
          <w:lang w:val="ro-RO" w:eastAsia="ro-RO"/>
        </w:rPr>
        <w:t> privind organizarea și conducerea contabilității instituțiilor publice, Planul de conturi pentru instituțiile publice și instrucțiunile de aplicare a acestuia, aprobate prin </w:t>
      </w:r>
      <w:hyperlink r:id="rId5" w:tgtFrame="_blank" w:history="1">
        <w:r w:rsidRPr="00156A5F">
          <w:rPr>
            <w:rFonts w:ascii="Arial" w:eastAsia="Times New Roman" w:hAnsi="Arial" w:cs="Arial"/>
            <w:b/>
            <w:bCs/>
            <w:color w:val="1155CC"/>
            <w:sz w:val="27"/>
            <w:szCs w:val="27"/>
            <w:u w:val="single"/>
            <w:lang w:val="ro-RO" w:eastAsia="ro-RO"/>
          </w:rPr>
          <w:t>Ordinul ministrului finanțelor publice nr. 1.917/2005</w:t>
        </w:r>
      </w:hyperlink>
      <w:r w:rsidRPr="00156A5F">
        <w:rPr>
          <w:rFonts w:ascii="Arial" w:eastAsia="Times New Roman" w:hAnsi="Arial" w:cs="Arial"/>
          <w:sz w:val="27"/>
          <w:szCs w:val="27"/>
          <w:lang w:val="ro-RO" w:eastAsia="ro-RO"/>
        </w:rPr>
        <w:t> </w:t>
      </w:r>
      <w:r w:rsidRPr="00156A5F">
        <w:rPr>
          <w:rFonts w:ascii="Arial" w:eastAsia="Times New Roman" w:hAnsi="Arial" w:cs="Arial"/>
          <w:b/>
          <w:bCs/>
          <w:sz w:val="27"/>
          <w:szCs w:val="27"/>
          <w:lang w:val="ro-RO" w:eastAsia="ro-RO"/>
        </w:rPr>
        <w:t>publicat in Monitorul Oficial nr 14 din 07 ianuarie 2019</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FF0000"/>
          <w:sz w:val="27"/>
          <w:szCs w:val="27"/>
          <w:lang w:val="ro-RO" w:eastAsia="ro-RO"/>
        </w:rPr>
        <w:t>se aplica incepand cu ian</w:t>
      </w:r>
      <w:bookmarkStart w:id="0" w:name="_GoBack"/>
      <w:bookmarkEnd w:id="0"/>
      <w:r w:rsidRPr="00156A5F">
        <w:rPr>
          <w:rFonts w:ascii="Arial" w:eastAsia="Times New Roman" w:hAnsi="Arial" w:cs="Arial"/>
          <w:b/>
          <w:bCs/>
          <w:color w:val="FF0000"/>
          <w:sz w:val="27"/>
          <w:szCs w:val="27"/>
          <w:lang w:val="ro-RO" w:eastAsia="ro-RO"/>
        </w:rPr>
        <w:t>uarie 2019.  Aceste modificari nu se aplica asupra soldurilor initiale ale anului 2019. Implementarea noilor modificari se realizeaza prin inregistrari contabile in luna ianuarie 2019. In urma inregistrarilor din luna ianuarie 2019, conturile care se elimina, conform OMFP </w:t>
      </w:r>
      <w:r w:rsidRPr="00156A5F">
        <w:rPr>
          <w:rFonts w:ascii="Arial" w:eastAsia="Times New Roman" w:hAnsi="Arial" w:cs="Arial"/>
          <w:b/>
          <w:bCs/>
          <w:color w:val="0000FF"/>
          <w:sz w:val="27"/>
          <w:szCs w:val="27"/>
          <w:lang w:val="ro-RO" w:eastAsia="ro-RO"/>
        </w:rPr>
        <w:t>3898</w:t>
      </w:r>
      <w:r w:rsidRPr="00156A5F">
        <w:rPr>
          <w:rFonts w:ascii="Arial" w:eastAsia="Times New Roman" w:hAnsi="Arial" w:cs="Arial"/>
          <w:b/>
          <w:bCs/>
          <w:color w:val="FF0000"/>
          <w:sz w:val="27"/>
          <w:szCs w:val="27"/>
          <w:lang w:val="ro-RO" w:eastAsia="ro-RO"/>
        </w:rPr>
        <w:t>, vor ramane in contabilitate, dar cu solduri finale ZERO.</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Stimati colegi,</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Va rugam sa transmiteti entitatilor publice fluxul depunerilor formularelor pentru luna decembrie </w:t>
      </w:r>
      <w:r w:rsidRPr="00156A5F">
        <w:rPr>
          <w:rFonts w:ascii="Arial" w:eastAsia="Times New Roman" w:hAnsi="Arial" w:cs="Arial"/>
          <w:b/>
          <w:bCs/>
          <w:color w:val="0000FF"/>
          <w:sz w:val="27"/>
          <w:szCs w:val="27"/>
          <w:lang w:val="ro-RO" w:eastAsia="ro-RO"/>
        </w:rPr>
        <w:t>(atentie s-a modificat fluxul depunerilor).</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I. In prima etapa se depun doar formularele urmatoare:</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b/>
          <w:bCs/>
          <w:color w:val="008000"/>
          <w:sz w:val="27"/>
          <w:szCs w:val="27"/>
          <w:lang w:val="ro-RO" w:eastAsia="ro-RO"/>
        </w:rPr>
        <w:t>1. F1118 - "Plaţi restante si numarul de posturi" – (anexa 30);</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008000"/>
          <w:sz w:val="27"/>
          <w:szCs w:val="27"/>
          <w:lang w:val="ro-RO" w:eastAsia="ro-RO"/>
        </w:rPr>
        <w:t>2. "Executie Non – Trezor" – cod F1115;</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008000"/>
          <w:sz w:val="27"/>
          <w:szCs w:val="27"/>
          <w:lang w:val="ro-RO" w:eastAsia="ro-RO"/>
        </w:rPr>
        <w:t>3. Formularul F1127  "Balanta deschisa luna 12"</w:t>
      </w:r>
      <w:r w:rsidRPr="00156A5F">
        <w:rPr>
          <w:rFonts w:ascii="Times New Roman" w:eastAsia="Times New Roman" w:hAnsi="Times New Roman" w:cs="Times New Roman"/>
          <w:sz w:val="24"/>
          <w:szCs w:val="24"/>
          <w:lang w:val="ro-RO" w:eastAsia="ro-RO"/>
        </w:rPr>
        <w:t> </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b/>
          <w:bCs/>
          <w:color w:val="008000"/>
          <w:sz w:val="27"/>
          <w:szCs w:val="27"/>
          <w:lang w:val="ro-RO" w:eastAsia="ro-RO"/>
        </w:rPr>
        <w:t>1. F1118 - "Plaţi restante si numarul de posturi" – (anexa 30);</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Acest formular se completeaza si se depune pana la termenele stabilite pentru formularele letrice, potentialele corecturi ale datelor acestuia fiind finalizate obligatoriu pana pe data de 10 ale lunii.</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Ordonatorii principali care nu-si insusesc raportariile de plati restante ale ordonatorilor din subordine, trebuie sa decida corectitudinea raportarii valorilor in acest formular pentru institutiile din subordine, sa solicite si sa verifice efectuarea modificarilor conform cu deciziile luate. Ordonatorul principal este responsabil de datele raportate si trebuie sa ia toate masurile necesare pentru ca datele raportate sa corespunda cu decizia de raportare. Incepand cu luna ianuarie 2019 entitatile publice care raporteaza eronat date vor suporta consecintele prevazute de lege pentru depunerea de date neconforme.</w:t>
      </w:r>
      <w:r w:rsidRPr="00156A5F">
        <w:rPr>
          <w:rFonts w:ascii="Times New Roman" w:eastAsia="Times New Roman" w:hAnsi="Times New Roman" w:cs="Times New Roman"/>
          <w:sz w:val="24"/>
          <w:szCs w:val="24"/>
          <w:lang w:val="ro-RO" w:eastAsia="ro-RO"/>
        </w:rPr>
        <w:t> </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b/>
          <w:bCs/>
          <w:color w:val="008000"/>
          <w:sz w:val="27"/>
          <w:szCs w:val="27"/>
          <w:lang w:val="ro-RO" w:eastAsia="ro-RO"/>
        </w:rPr>
        <w:t>2. "Executie Non – Trezor" – cod F1115;</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xml:space="preserve"> Menţiuni: Formularul se depune completat cu valorile din conturile de disponibil deschise la institutiile de credit continand executia veniturilor </w:t>
      </w:r>
      <w:r w:rsidRPr="00156A5F">
        <w:rPr>
          <w:rFonts w:ascii="Arial" w:eastAsia="Times New Roman" w:hAnsi="Arial" w:cs="Arial"/>
          <w:b/>
          <w:bCs/>
          <w:sz w:val="27"/>
          <w:szCs w:val="27"/>
          <w:lang w:val="ro-RO" w:eastAsia="ro-RO"/>
        </w:rPr>
        <w:lastRenderedPageBreak/>
        <w:t>si cheltuielilor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(asa cum s-au depus si pentru lunile precedente). </w:t>
      </w:r>
      <w:r w:rsidRPr="00156A5F">
        <w:rPr>
          <w:rFonts w:ascii="Arial" w:eastAsia="Times New Roman" w:hAnsi="Arial" w:cs="Arial"/>
          <w:b/>
          <w:bCs/>
          <w:color w:val="0000FF"/>
          <w:sz w:val="27"/>
          <w:szCs w:val="27"/>
          <w:lang w:val="ro-RO" w:eastAsia="ro-RO"/>
        </w:rPr>
        <w:t>Executia din formularul NON TREZOR nu se inchide</w:t>
      </w:r>
      <w:r w:rsidRPr="00156A5F">
        <w:rPr>
          <w:rFonts w:ascii="Arial" w:eastAsia="Times New Roman" w:hAnsi="Arial" w:cs="Arial"/>
          <w:b/>
          <w:bCs/>
          <w:sz w:val="27"/>
          <w:szCs w:val="27"/>
          <w:lang w:val="ro-RO" w:eastAsia="ro-RO"/>
        </w:rPr>
        <w:t>.</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FF0000"/>
          <w:sz w:val="27"/>
          <w:szCs w:val="27"/>
          <w:lang w:val="ro-RO" w:eastAsia="ro-RO"/>
        </w:rPr>
        <w:t>Trebuie sa se acorde o importanta majora completarii corecte a formularului NON TREZOR.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FF0000"/>
          <w:sz w:val="27"/>
          <w:szCs w:val="27"/>
          <w:lang w:val="ro-RO" w:eastAsia="ro-RO"/>
        </w:rPr>
        <w:t>Coloanele ce reflecta transferurile din si in trezorerii trebuie sa se completeze, acolo unde este cazul, cu sume. Necompletarea cu sume duce la denaturarea raportarii.</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008000"/>
          <w:sz w:val="27"/>
          <w:szCs w:val="27"/>
          <w:lang w:val="ro-RO" w:eastAsia="ro-RO"/>
        </w:rPr>
        <w:t>3. Formularul F1127  "Balanta deschisa luna 12"</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sz w:val="27"/>
          <w:szCs w:val="27"/>
          <w:lang w:val="ro-RO" w:eastAsia="ro-RO"/>
        </w:rPr>
        <w:t> Menţiuni: formularul se depune respectand urmatoarele:</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conturile de venituri si cheltuieli  (7xx si 6xx ) </w:t>
      </w:r>
      <w:r w:rsidRPr="00156A5F">
        <w:rPr>
          <w:rFonts w:ascii="Arial" w:eastAsia="Times New Roman" w:hAnsi="Arial" w:cs="Arial"/>
          <w:b/>
          <w:bCs/>
          <w:sz w:val="27"/>
          <w:szCs w:val="27"/>
          <w:lang w:val="ro-RO" w:eastAsia="ro-RO"/>
        </w:rPr>
        <w:t>sunt deschise</w:t>
      </w:r>
      <w:r w:rsidRPr="00156A5F">
        <w:rPr>
          <w:rFonts w:ascii="Arial" w:eastAsia="Times New Roman" w:hAnsi="Arial" w:cs="Arial"/>
          <w:sz w:val="27"/>
          <w:szCs w:val="27"/>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contul 7700000 „Finanţarea de la buget” este </w:t>
      </w:r>
      <w:r w:rsidRPr="00156A5F">
        <w:rPr>
          <w:rFonts w:ascii="Arial" w:eastAsia="Times New Roman" w:hAnsi="Arial" w:cs="Arial"/>
          <w:b/>
          <w:bCs/>
          <w:sz w:val="27"/>
          <w:szCs w:val="27"/>
          <w:lang w:val="ro-RO" w:eastAsia="ro-RO"/>
        </w:rPr>
        <w:t>deschis</w:t>
      </w:r>
      <w:r w:rsidRPr="00156A5F">
        <w:rPr>
          <w:rFonts w:ascii="Arial" w:eastAsia="Times New Roman" w:hAnsi="Arial" w:cs="Arial"/>
          <w:sz w:val="27"/>
          <w:szCs w:val="27"/>
          <w:lang w:val="ro-RO" w:eastAsia="ro-RO"/>
        </w:rPr>
        <w:t> (similar cu depunerile anterioare lunare ale balanţei de verificare, </w:t>
      </w:r>
      <w:r w:rsidRPr="00156A5F">
        <w:rPr>
          <w:rFonts w:ascii="Arial" w:eastAsia="Times New Roman" w:hAnsi="Arial" w:cs="Arial"/>
          <w:color w:val="0000FF"/>
          <w:sz w:val="27"/>
          <w:szCs w:val="27"/>
          <w:lang w:val="ro-RO" w:eastAsia="ro-RO"/>
        </w:rPr>
        <w:t>pentru efectuarea validarii acestora cu trezoreria</w:t>
      </w:r>
      <w:r w:rsidRPr="00156A5F">
        <w:rPr>
          <w:rFonts w:ascii="Arial" w:eastAsia="Times New Roman" w:hAnsi="Arial" w:cs="Arial"/>
          <w:sz w:val="27"/>
          <w:szCs w:val="27"/>
          <w:lang w:val="ro-RO" w:eastAsia="ro-RO"/>
        </w:rPr>
        <w:t>),</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w:t>
      </w:r>
      <w:r w:rsidRPr="00156A5F">
        <w:rPr>
          <w:rFonts w:ascii="Arial" w:eastAsia="Times New Roman" w:hAnsi="Arial" w:cs="Arial"/>
          <w:color w:val="0000FF"/>
          <w:sz w:val="27"/>
          <w:szCs w:val="27"/>
          <w:lang w:val="ro-RO" w:eastAsia="ro-RO"/>
        </w:rPr>
        <w:t> conturile de venituri bugetare (5xx) sunt deschise (pentru efectuarea validarii acestora cu trezoreria);</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color w:val="0000FF"/>
          <w:sz w:val="27"/>
          <w:szCs w:val="27"/>
          <w:lang w:val="ro-RO" w:eastAsia="ro-RO"/>
        </w:rPr>
        <w:t>  - executia </w:t>
      </w:r>
      <w:r w:rsidRPr="00156A5F">
        <w:rPr>
          <w:rFonts w:ascii="Arial" w:eastAsia="Times New Roman" w:hAnsi="Arial" w:cs="Arial"/>
          <w:sz w:val="27"/>
          <w:szCs w:val="27"/>
          <w:lang w:val="ro-RO" w:eastAsia="ro-RO"/>
        </w:rPr>
        <w:t>dezvoltata în conturi analitice pe clasificaţia de venituri şi/sau clasificaţia de cheltuieli pentru </w:t>
      </w:r>
      <w:r w:rsidRPr="00156A5F">
        <w:rPr>
          <w:rFonts w:ascii="Arial" w:eastAsia="Times New Roman" w:hAnsi="Arial" w:cs="Arial"/>
          <w:color w:val="0000FF"/>
          <w:sz w:val="27"/>
          <w:szCs w:val="27"/>
          <w:lang w:val="ro-RO" w:eastAsia="ro-RO"/>
        </w:rPr>
        <w:t>conturile (5xx) de la institutiile de credit,</w:t>
      </w:r>
      <w:r w:rsidRPr="00156A5F">
        <w:rPr>
          <w:rFonts w:ascii="Arial" w:eastAsia="Times New Roman" w:hAnsi="Arial" w:cs="Arial"/>
          <w:b/>
          <w:bCs/>
          <w:color w:val="0000FF"/>
          <w:sz w:val="27"/>
          <w:szCs w:val="27"/>
          <w:lang w:val="ro-RO" w:eastAsia="ro-RO"/>
        </w:rPr>
        <w:t> este deschisa</w:t>
      </w:r>
      <w:r w:rsidRPr="00156A5F">
        <w:rPr>
          <w:rFonts w:ascii="Arial" w:eastAsia="Times New Roman" w:hAnsi="Arial" w:cs="Arial"/>
          <w:color w:val="0000FF"/>
          <w:sz w:val="27"/>
          <w:szCs w:val="27"/>
          <w:lang w:val="ro-RO" w:eastAsia="ro-RO"/>
        </w:rPr>
        <w:t>;</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sz w:val="27"/>
          <w:szCs w:val="27"/>
          <w:lang w:val="ro-RO" w:eastAsia="ro-RO"/>
        </w:rPr>
        <w:t>  - se evidențieaza, acolo unde este cazul, </w:t>
      </w:r>
      <w:r w:rsidRPr="00156A5F">
        <w:rPr>
          <w:rFonts w:ascii="Arial" w:eastAsia="Times New Roman" w:hAnsi="Arial" w:cs="Arial"/>
          <w:b/>
          <w:bCs/>
          <w:sz w:val="27"/>
          <w:szCs w:val="27"/>
          <w:lang w:val="ro-RO" w:eastAsia="ro-RO"/>
        </w:rPr>
        <w:t>doar </w:t>
      </w:r>
      <w:r w:rsidRPr="00156A5F">
        <w:rPr>
          <w:rFonts w:ascii="Arial" w:eastAsia="Times New Roman" w:hAnsi="Arial" w:cs="Arial"/>
          <w:sz w:val="27"/>
          <w:szCs w:val="27"/>
          <w:lang w:val="ro-RO" w:eastAsia="ro-RO"/>
        </w:rPr>
        <w:t>înregistrarea contabilă aferentă restituirii sumelor primite din excedentul anilor precedenți , exemplu (5190107=5210100 ; 5190190=5600100 ; 5190190= 5610100 etc.)</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inregistrarea contabilă pentru reîntregirea contului de excedent </w:t>
      </w:r>
      <w:r w:rsidRPr="00156A5F">
        <w:rPr>
          <w:rFonts w:ascii="Arial" w:eastAsia="Times New Roman" w:hAnsi="Arial" w:cs="Arial"/>
          <w:b/>
          <w:bCs/>
          <w:sz w:val="27"/>
          <w:szCs w:val="27"/>
          <w:lang w:val="ro-RO" w:eastAsia="ro-RO"/>
        </w:rPr>
        <w:t>NU se evidențiază în formularul „Balanță deschisă luna 12”</w:t>
      </w:r>
      <w:r w:rsidRPr="00156A5F">
        <w:rPr>
          <w:rFonts w:ascii="Arial" w:eastAsia="Times New Roman" w:hAnsi="Arial" w:cs="Arial"/>
          <w:sz w:val="27"/>
          <w:szCs w:val="27"/>
          <w:lang w:val="ro-RO" w:eastAsia="ro-RO"/>
        </w:rPr>
        <w:t>, ( exemple: 5210300 = 4680107 ; 5600300= 4680109 ; 5610300 = 4680109 etc.)</w:t>
      </w:r>
    </w:p>
    <w:p w:rsidR="00156A5F" w:rsidRPr="00156A5F" w:rsidRDefault="00156A5F" w:rsidP="00156A5F">
      <w:pPr>
        <w:spacing w:before="100" w:beforeAutospacing="1" w:after="100" w:afterAutospacing="1" w:line="240" w:lineRule="auto"/>
        <w:rPr>
          <w:rFonts w:ascii="Times New Roman" w:eastAsia="Times New Roman" w:hAnsi="Times New Roman" w:cs="Times New Roman"/>
          <w:sz w:val="24"/>
          <w:szCs w:val="24"/>
          <w:lang w:val="ro-RO" w:eastAsia="ro-RO"/>
        </w:rPr>
      </w:pP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II. In a doua etapa se depun restul formularelor:</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color w:val="0000FF"/>
          <w:sz w:val="27"/>
          <w:szCs w:val="27"/>
          <w:lang w:val="ro-RO" w:eastAsia="ro-RO"/>
        </w:rPr>
        <w:t>A doua etapa incepe dupa </w:t>
      </w:r>
      <w:r w:rsidRPr="00156A5F">
        <w:rPr>
          <w:rFonts w:ascii="Arial" w:eastAsia="Times New Roman" w:hAnsi="Arial" w:cs="Arial"/>
          <w:b/>
          <w:bCs/>
          <w:color w:val="0000FF"/>
          <w:sz w:val="27"/>
          <w:szCs w:val="27"/>
          <w:u w:val="single"/>
          <w:lang w:val="ro-RO" w:eastAsia="ro-RO"/>
        </w:rPr>
        <w:t>inchiderea conturilor de venituri si cheltuieli bugetare in trezorerie.</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4. Formularul F1102 "Balanta de verificare"</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sz w:val="27"/>
          <w:szCs w:val="27"/>
          <w:lang w:val="ro-RO" w:eastAsia="ro-RO"/>
        </w:rPr>
        <w:t>Menţiuni: formularul se depune respectand urmatoarele: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conturile de venituri si cheltuieli (7xx si 6xx ) </w:t>
      </w:r>
      <w:r w:rsidRPr="00156A5F">
        <w:rPr>
          <w:rFonts w:ascii="Arial" w:eastAsia="Times New Roman" w:hAnsi="Arial" w:cs="Arial"/>
          <w:b/>
          <w:bCs/>
          <w:sz w:val="27"/>
          <w:szCs w:val="27"/>
          <w:lang w:val="ro-RO" w:eastAsia="ro-RO"/>
        </w:rPr>
        <w:t>sunt deschise;</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contul 7700000 „Finanţarea de la buget” </w:t>
      </w:r>
      <w:r w:rsidRPr="00156A5F">
        <w:rPr>
          <w:rFonts w:ascii="Arial" w:eastAsia="Times New Roman" w:hAnsi="Arial" w:cs="Arial"/>
          <w:b/>
          <w:bCs/>
          <w:sz w:val="27"/>
          <w:szCs w:val="27"/>
          <w:lang w:val="ro-RO" w:eastAsia="ro-RO"/>
        </w:rPr>
        <w:t>este închis;</w:t>
      </w:r>
      <w:r w:rsidRPr="00156A5F">
        <w:rPr>
          <w:rFonts w:ascii="Arial" w:eastAsia="Times New Roman" w:hAnsi="Arial" w:cs="Arial"/>
          <w:sz w:val="27"/>
          <w:szCs w:val="27"/>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se efectueaza înregistrările contabile </w:t>
      </w:r>
      <w:r w:rsidRPr="00156A5F">
        <w:rPr>
          <w:rFonts w:ascii="Arial" w:eastAsia="Times New Roman" w:hAnsi="Arial" w:cs="Arial"/>
          <w:color w:val="0000FF"/>
          <w:sz w:val="27"/>
          <w:szCs w:val="27"/>
          <w:lang w:val="ro-RO" w:eastAsia="ro-RO"/>
        </w:rPr>
        <w:t>de inchidere a conturilor de venituri bugetare  </w:t>
      </w:r>
      <w:r w:rsidRPr="00156A5F">
        <w:rPr>
          <w:rFonts w:ascii="Arial" w:eastAsia="Times New Roman" w:hAnsi="Arial" w:cs="Arial"/>
          <w:sz w:val="27"/>
          <w:szCs w:val="27"/>
          <w:lang w:val="ro-RO" w:eastAsia="ro-RO"/>
        </w:rPr>
        <w:t>(5xx) necesare stabilirii și repartizării execuţiei bugetare pe fiecare sursa de finanţare (excedent/deficit),</w:t>
      </w:r>
    </w:p>
    <w:p w:rsidR="00156A5F" w:rsidRPr="00156A5F" w:rsidRDefault="00156A5F" w:rsidP="00156A5F">
      <w:pPr>
        <w:spacing w:before="100" w:beforeAutospacing="1" w:after="100" w:afterAutospacing="1"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sz w:val="27"/>
          <w:szCs w:val="27"/>
          <w:lang w:val="ro-RO" w:eastAsia="ro-RO"/>
        </w:rPr>
        <w:lastRenderedPageBreak/>
        <w:t>  - se efectueaza, acolo unde este cazul, articolul contabil care </w:t>
      </w:r>
      <w:r w:rsidRPr="00156A5F">
        <w:rPr>
          <w:rFonts w:ascii="Arial" w:eastAsia="Times New Roman" w:hAnsi="Arial" w:cs="Arial"/>
          <w:b/>
          <w:bCs/>
          <w:sz w:val="27"/>
          <w:szCs w:val="27"/>
          <w:lang w:val="ro-RO" w:eastAsia="ro-RO"/>
        </w:rPr>
        <w:t>finalizeaza reîntregirea contului de excedent </w:t>
      </w:r>
      <w:r w:rsidRPr="00156A5F">
        <w:rPr>
          <w:rFonts w:ascii="Arial" w:eastAsia="Times New Roman" w:hAnsi="Arial" w:cs="Arial"/>
          <w:sz w:val="27"/>
          <w:szCs w:val="27"/>
          <w:lang w:val="ro-RO" w:eastAsia="ro-RO"/>
        </w:rPr>
        <w:t>( exemple: 5210300 = 4680107 ; 5600300= 4680109 ; 5610300 = 4680109 etc.),</w:t>
      </w:r>
    </w:p>
    <w:p w:rsidR="00156A5F" w:rsidRPr="00156A5F" w:rsidRDefault="00156A5F" w:rsidP="00156A5F">
      <w:pPr>
        <w:spacing w:before="100" w:beforeAutospacing="1" w:after="100" w:afterAutospacing="1"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color w:val="0000FF"/>
          <w:sz w:val="27"/>
          <w:szCs w:val="27"/>
          <w:lang w:val="ro-RO" w:eastAsia="ro-RO"/>
        </w:rPr>
        <w:t>  - executia </w:t>
      </w:r>
      <w:r w:rsidRPr="00156A5F">
        <w:rPr>
          <w:rFonts w:ascii="Arial" w:eastAsia="Times New Roman" w:hAnsi="Arial" w:cs="Arial"/>
          <w:sz w:val="27"/>
          <w:szCs w:val="27"/>
          <w:lang w:val="ro-RO" w:eastAsia="ro-RO"/>
        </w:rPr>
        <w:t>dezvoltata în conturi analitice pe clasificaţia de venituri şi/sau clasificaţia de cheltuieli pentru </w:t>
      </w:r>
      <w:r w:rsidRPr="00156A5F">
        <w:rPr>
          <w:rFonts w:ascii="Arial" w:eastAsia="Times New Roman" w:hAnsi="Arial" w:cs="Arial"/>
          <w:color w:val="0000FF"/>
          <w:sz w:val="27"/>
          <w:szCs w:val="27"/>
          <w:lang w:val="ro-RO" w:eastAsia="ro-RO"/>
        </w:rPr>
        <w:t>conturile (5xx) de la institutiile de credit,</w:t>
      </w:r>
      <w:r w:rsidRPr="00156A5F">
        <w:rPr>
          <w:rFonts w:ascii="Arial" w:eastAsia="Times New Roman" w:hAnsi="Arial" w:cs="Arial"/>
          <w:b/>
          <w:bCs/>
          <w:color w:val="0000FF"/>
          <w:sz w:val="27"/>
          <w:szCs w:val="27"/>
          <w:lang w:val="ro-RO" w:eastAsia="ro-RO"/>
        </w:rPr>
        <w:t> este inchisa</w:t>
      </w:r>
      <w:r w:rsidRPr="00156A5F">
        <w:rPr>
          <w:rFonts w:ascii="Arial" w:eastAsia="Times New Roman" w:hAnsi="Arial" w:cs="Arial"/>
          <w:color w:val="0000FF"/>
          <w:sz w:val="27"/>
          <w:szCs w:val="27"/>
          <w:lang w:val="ro-RO" w:eastAsia="ro-RO"/>
        </w:rPr>
        <w:t>;</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sz w:val="27"/>
          <w:szCs w:val="27"/>
          <w:lang w:val="ro-RO" w:eastAsia="ro-RO"/>
        </w:rPr>
        <w:t>  - conturile de disponibil la institutiile de credit (banci), la sfarsit de an, nu trebuie sa prezinte sold </w:t>
      </w:r>
      <w:r w:rsidRPr="00156A5F">
        <w:rPr>
          <w:rFonts w:ascii="Arial" w:eastAsia="Times New Roman" w:hAnsi="Arial" w:cs="Arial"/>
          <w:b/>
          <w:bCs/>
          <w:sz w:val="27"/>
          <w:szCs w:val="27"/>
          <w:lang w:val="ro-RO" w:eastAsia="ro-RO"/>
        </w:rPr>
        <w:t>decat </w:t>
      </w:r>
      <w:r w:rsidRPr="00156A5F">
        <w:rPr>
          <w:rFonts w:ascii="Arial" w:eastAsia="Times New Roman" w:hAnsi="Arial" w:cs="Arial"/>
          <w:sz w:val="27"/>
          <w:szCs w:val="27"/>
          <w:lang w:val="ro-RO" w:eastAsia="ro-RO"/>
        </w:rPr>
        <w:t>pe cont in format </w:t>
      </w:r>
      <w:r w:rsidRPr="00156A5F">
        <w:rPr>
          <w:rFonts w:ascii="Arial" w:eastAsia="Times New Roman" w:hAnsi="Arial" w:cs="Arial"/>
          <w:b/>
          <w:bCs/>
          <w:sz w:val="27"/>
          <w:szCs w:val="27"/>
          <w:lang w:val="ro-RO" w:eastAsia="ro-RO"/>
        </w:rPr>
        <w:t>""fara clasificatie"",</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conturile de disponibilitati la trezorerie, la sfarsit de an,  nu trebuie sa prezinte sold </w:t>
      </w:r>
      <w:r w:rsidRPr="00156A5F">
        <w:rPr>
          <w:rFonts w:ascii="Arial" w:eastAsia="Times New Roman" w:hAnsi="Arial" w:cs="Arial"/>
          <w:b/>
          <w:bCs/>
          <w:sz w:val="27"/>
          <w:szCs w:val="27"/>
          <w:lang w:val="ro-RO" w:eastAsia="ro-RO"/>
        </w:rPr>
        <w:t>decat </w:t>
      </w:r>
      <w:r w:rsidRPr="00156A5F">
        <w:rPr>
          <w:rFonts w:ascii="Arial" w:eastAsia="Times New Roman" w:hAnsi="Arial" w:cs="Arial"/>
          <w:sz w:val="27"/>
          <w:szCs w:val="27"/>
          <w:lang w:val="ro-RO" w:eastAsia="ro-RO"/>
        </w:rPr>
        <w:t>pe cont in format </w:t>
      </w:r>
      <w:r w:rsidRPr="00156A5F">
        <w:rPr>
          <w:rFonts w:ascii="Arial" w:eastAsia="Times New Roman" w:hAnsi="Arial" w:cs="Arial"/>
          <w:b/>
          <w:bCs/>
          <w:sz w:val="27"/>
          <w:szCs w:val="27"/>
          <w:lang w:val="ro-RO" w:eastAsia="ro-RO"/>
        </w:rPr>
        <w:t>""fara clasificatie"",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pentru ordonatorii principali ai bugetului local in vederea stabilirii excedentului,  se preiau, acolo unde este cazul, cheltuielile efectuate din bugetul local de unde au fost efectuate deschiderile de credite catre ordonatorii de credite din subordine (exemplu: 4810900 = 5210200),</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  - clasificatia functionala si economica se foloseste la nivel de COFOG 1 </w:t>
      </w:r>
      <w:r w:rsidRPr="00156A5F">
        <w:rPr>
          <w:rFonts w:ascii="Arial" w:eastAsia="Times New Roman" w:hAnsi="Arial" w:cs="Arial"/>
          <w:b/>
          <w:bCs/>
          <w:sz w:val="27"/>
          <w:szCs w:val="27"/>
          <w:lang w:val="ro-RO" w:eastAsia="ro-RO"/>
        </w:rPr>
        <w:t>doar</w:t>
      </w:r>
      <w:r w:rsidRPr="00156A5F">
        <w:rPr>
          <w:rFonts w:ascii="Arial" w:eastAsia="Times New Roman" w:hAnsi="Arial" w:cs="Arial"/>
          <w:sz w:val="27"/>
          <w:szCs w:val="27"/>
          <w:lang w:val="ro-RO" w:eastAsia="ro-RO"/>
        </w:rPr>
        <w:t> de entitatile publice cu statut special.</w:t>
      </w:r>
      <w:r w:rsidRPr="00156A5F">
        <w:rPr>
          <w:rFonts w:ascii="Times New Roman" w:eastAsia="Times New Roman" w:hAnsi="Times New Roman" w:cs="Times New Roman"/>
          <w:sz w:val="24"/>
          <w:szCs w:val="24"/>
          <w:lang w:val="ro-RO" w:eastAsia="ro-RO"/>
        </w:rPr>
        <w:t> </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b/>
          <w:bCs/>
          <w:sz w:val="27"/>
          <w:szCs w:val="27"/>
          <w:lang w:val="ro-RO" w:eastAsia="ro-RO"/>
        </w:rPr>
        <w:t>  5. F1114 - "Situaţia plaţilor efectuate si a sumelor declarate pentru cota parte aferenta cheltuielilor financiare din FEN postaderare" – (anexa 19 - FEN);</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6. F1122 - "Situaţia plaţilor efectuate la titlul 56 si 58 "Proiecte cu finanţare din fonduri externe nerambursabile (FEN) postaderare" – (anexa 27 - FEN);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7. F1123 - "Situaţia plaţilor efectuate la titlul 65 "Cheltuieli aferente programelor cu finanţare rambursabila" – (anexa 28);</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8. F1111 - "Situaţia acţiunilor deţinute de instituţiile publice,</w:t>
      </w:r>
      <w:r w:rsidRPr="00156A5F">
        <w:rPr>
          <w:rFonts w:ascii="Arial" w:eastAsia="Times New Roman" w:hAnsi="Arial" w:cs="Arial"/>
          <w:sz w:val="27"/>
          <w:szCs w:val="27"/>
          <w:lang w:val="ro-RO" w:eastAsia="ro-RO"/>
        </w:rPr>
        <w:t> în</w:t>
      </w:r>
      <w:r w:rsidRPr="00156A5F">
        <w:rPr>
          <w:rFonts w:ascii="Arial" w:eastAsia="Times New Roman" w:hAnsi="Arial" w:cs="Arial"/>
          <w:b/>
          <w:bCs/>
          <w:sz w:val="27"/>
          <w:szCs w:val="27"/>
          <w:lang w:val="ro-RO" w:eastAsia="ro-RO"/>
        </w:rPr>
        <w:t> numele statului roman, la societaţi comerciale, societaţi / companii naţionale precum siîn capitalul unor org. internaţionale si companii straine" – (anexa 31)</w:t>
      </w:r>
      <w:r w:rsidRPr="00156A5F">
        <w:rPr>
          <w:rFonts w:ascii="Arial" w:eastAsia="Times New Roman" w:hAnsi="Arial" w:cs="Arial"/>
          <w:b/>
          <w:bCs/>
          <w:color w:val="0000FF"/>
          <w:sz w:val="27"/>
          <w:szCs w:val="27"/>
          <w:lang w:val="ro-RO" w:eastAsia="ro-RO"/>
        </w:rPr>
        <w:t> formularul se depune de institutiile publice din cadrul  sectoarelor 01,03,04,05;</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9. F1112 - "Actiuni/alte participatii detinute direct/indirect de unitatile administrativ-teritoriale la operatorii economici" – (anexa 31b); </w:t>
      </w:r>
      <w:r w:rsidRPr="00156A5F">
        <w:rPr>
          <w:rFonts w:ascii="Arial" w:eastAsia="Times New Roman" w:hAnsi="Arial" w:cs="Arial"/>
          <w:b/>
          <w:bCs/>
          <w:color w:val="0000FF"/>
          <w:sz w:val="27"/>
          <w:szCs w:val="27"/>
          <w:lang w:val="ro-RO" w:eastAsia="ro-RO"/>
        </w:rPr>
        <w:t>se depune de institutiile publice din cadrul  sectoarului 02;</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10. F1105 - "Situaţia activelor fixe corporale (amortizabile si neamortizabile)"– (anexa 35a);</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 11. F1107 - "Situaţia activelor fixe necorporale (amortizabile si neamortizabile)"– (anexa 35c);</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lastRenderedPageBreak/>
        <w:t> 12. F1113 - "Situaţia stocurilor"– (anexa 37);</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13. F1110 - "Situaţia modificarilor</w:t>
      </w:r>
      <w:r w:rsidRPr="00156A5F">
        <w:rPr>
          <w:rFonts w:ascii="Arial" w:eastAsia="Times New Roman" w:hAnsi="Arial" w:cs="Arial"/>
          <w:sz w:val="27"/>
          <w:szCs w:val="27"/>
          <w:lang w:val="ro-RO" w:eastAsia="ro-RO"/>
        </w:rPr>
        <w:t> </w:t>
      </w:r>
      <w:r w:rsidRPr="00156A5F">
        <w:rPr>
          <w:rFonts w:ascii="Arial" w:eastAsia="Times New Roman" w:hAnsi="Arial" w:cs="Arial"/>
          <w:b/>
          <w:bCs/>
          <w:sz w:val="27"/>
          <w:szCs w:val="27"/>
          <w:lang w:val="ro-RO" w:eastAsia="ro-RO"/>
        </w:rPr>
        <w:t>în structura activelor nete/capitaluri proprii"–  (anexa 34);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Menţiuni: - Completarea anexei 34, in vederea determinarii valorii contului 121, se efectueaza dupa inchiderea conturilor de venituri (7xx) si cheltuieli (6xx).  Mentionam ca in sistem </w:t>
      </w:r>
      <w:r w:rsidRPr="00156A5F">
        <w:rPr>
          <w:rFonts w:ascii="Arial" w:eastAsia="Times New Roman" w:hAnsi="Arial" w:cs="Arial"/>
          <w:b/>
          <w:bCs/>
          <w:sz w:val="27"/>
          <w:szCs w:val="27"/>
          <w:lang w:val="ro-RO" w:eastAsia="ro-RO"/>
        </w:rPr>
        <w:t>nu se depun balante de verificare F1102 cu aceste conturi inchise</w:t>
      </w:r>
      <w:r w:rsidRPr="00156A5F">
        <w:rPr>
          <w:rFonts w:ascii="Arial" w:eastAsia="Times New Roman" w:hAnsi="Arial" w:cs="Arial"/>
          <w:sz w:val="27"/>
          <w:szCs w:val="27"/>
          <w:lang w:val="ro-RO" w:eastAsia="ro-RO"/>
        </w:rPr>
        <w:t>. Inchiderea se efectueaza doar in scopul determinarii valorii contului 121.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14. F1125 - "Situaţia activelor și datoriilor financiare ale instituţiilor publice" –  (anexa 40);</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Menţiuni: - in vederea completarii anexei 40,  se efectueaza inchiderea contului 7700000 si a conturilor de venituri (5xx)</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Atentie!!! Daca in procesul de validare a situatiilor financiare in formatul letric, depus la ordonatorii superiori, se constata erori si sunt corectate de catre entitatile publice, trebuie sa se redepuna si formularele situatiilor financiare in Forexebug cu modificarile solicitate de institutia centralizatoare a situatiilor financiare. Situatia este valabila si invers. Daca in urma depunerii in Forexebug a situatiilor financiare sunt necesare corectii, acestea  se efectueaza atat in formularele ce se depun in FOREXEBUG cat si in situatiile ce se depun in formatul letric.</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S-au introdus validari intre formulare astfel: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1)  Nu se valideaza formularul F1102,  daca nu exista formular F1127 "balanta deschisa luna 12" VALID;</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2)  Nu se valideaza formularele F1105, F1107, F1110, F1113 si F1125  daca nu exista formular F1102 "balanta de verificare" VALID.</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sz w:val="27"/>
          <w:szCs w:val="27"/>
          <w:lang w:val="ro-RO" w:eastAsia="ro-RO"/>
        </w:rPr>
        <w:t>S-au introdus validari suplimentare pentru </w:t>
      </w:r>
      <w:r w:rsidRPr="00156A5F">
        <w:rPr>
          <w:rFonts w:ascii="Arial" w:eastAsia="Times New Roman" w:hAnsi="Arial" w:cs="Arial"/>
          <w:color w:val="0000FF"/>
          <w:sz w:val="27"/>
          <w:szCs w:val="27"/>
          <w:lang w:val="ro-RO" w:eastAsia="ro-RO"/>
        </w:rPr>
        <w:t>Balanta de verificare, formularul F1102</w:t>
      </w:r>
      <w:r w:rsidRPr="00156A5F">
        <w:rPr>
          <w:rFonts w:ascii="Arial" w:eastAsia="Times New Roman" w:hAnsi="Arial" w:cs="Arial"/>
          <w:sz w:val="27"/>
          <w:szCs w:val="27"/>
          <w:lang w:val="ro-RO" w:eastAsia="ro-RO"/>
        </w:rPr>
        <w:t>, privind obligativitatea soldului final ZERO in luna decembrie, pentru urmatoarele conturi </w:t>
      </w:r>
      <w:r w:rsidRPr="00156A5F">
        <w:rPr>
          <w:rFonts w:ascii="Arial" w:eastAsia="Times New Roman" w:hAnsi="Arial" w:cs="Arial"/>
          <w:b/>
          <w:bCs/>
          <w:sz w:val="27"/>
          <w:szCs w:val="27"/>
          <w:lang w:val="ro-RO" w:eastAsia="ro-RO"/>
        </w:rPr>
        <w:t>5200100 5200200 5210100 5210200 5240100 5240200 5250101 5250201 5250102 5250202 5600101 5600200  5610101 5610200 5620101 5620200 5710100 5710200 5740101 5740201 5740102 5740202 5750100 5750200 5130101 5140101 5150103 5150400 5160101 5170101 4680107 5190107 4680109 5190190 5310101 5310402</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color w:val="0000FF"/>
          <w:sz w:val="27"/>
          <w:szCs w:val="27"/>
          <w:lang w:val="ro-RO" w:eastAsia="ro-RO"/>
        </w:rPr>
        <w:t>Mentiuni:</w:t>
      </w:r>
      <w:r w:rsidRPr="00156A5F">
        <w:rPr>
          <w:rFonts w:ascii="Times New Roman" w:eastAsia="Times New Roman" w:hAnsi="Times New Roman" w:cs="Times New Roman"/>
          <w:sz w:val="24"/>
          <w:szCs w:val="24"/>
          <w:lang w:val="ro-RO" w:eastAsia="ro-RO"/>
        </w:rPr>
        <w:t> </w:t>
      </w: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color w:val="0000FF"/>
          <w:sz w:val="27"/>
          <w:szCs w:val="27"/>
          <w:lang w:val="ro-RO" w:eastAsia="ro-RO"/>
        </w:rPr>
        <w:t>Balanta de deschidere, formular F1101, folosita la intrarea in sistem pentru introducerea soldurilor initiale, </w:t>
      </w:r>
      <w:r w:rsidRPr="00156A5F">
        <w:rPr>
          <w:rFonts w:ascii="Arial" w:eastAsia="Times New Roman" w:hAnsi="Arial" w:cs="Arial"/>
          <w:b/>
          <w:bCs/>
          <w:color w:val="0000FF"/>
          <w:sz w:val="27"/>
          <w:szCs w:val="27"/>
          <w:lang w:val="ro-RO" w:eastAsia="ro-RO"/>
        </w:rPr>
        <w:t>NU SE MAI FOLOSESTE</w:t>
      </w:r>
      <w:r w:rsidRPr="00156A5F">
        <w:rPr>
          <w:rFonts w:ascii="Arial" w:eastAsia="Times New Roman" w:hAnsi="Arial" w:cs="Arial"/>
          <w:color w:val="0000FF"/>
          <w:sz w:val="27"/>
          <w:szCs w:val="27"/>
          <w:lang w:val="ro-RO" w:eastAsia="ro-RO"/>
        </w:rPr>
        <w:t>. Aceasta a fost necesara</w:t>
      </w:r>
      <w:r w:rsidRPr="00156A5F">
        <w:rPr>
          <w:rFonts w:ascii="Arial" w:eastAsia="Times New Roman" w:hAnsi="Arial" w:cs="Arial"/>
          <w:b/>
          <w:bCs/>
          <w:color w:val="0000FF"/>
          <w:sz w:val="27"/>
          <w:szCs w:val="27"/>
          <w:lang w:val="ro-RO" w:eastAsia="ro-RO"/>
        </w:rPr>
        <w:t>DOAR </w:t>
      </w:r>
      <w:r w:rsidRPr="00156A5F">
        <w:rPr>
          <w:rFonts w:ascii="Arial" w:eastAsia="Times New Roman" w:hAnsi="Arial" w:cs="Arial"/>
          <w:color w:val="0000FF"/>
          <w:sz w:val="27"/>
          <w:szCs w:val="27"/>
          <w:lang w:val="ro-RO" w:eastAsia="ro-RO"/>
        </w:rPr>
        <w:t xml:space="preserve">pentru introducerea soldurilor initiale la intrarea in sistemul </w:t>
      </w:r>
      <w:r w:rsidRPr="00156A5F">
        <w:rPr>
          <w:rFonts w:ascii="Arial" w:eastAsia="Times New Roman" w:hAnsi="Arial" w:cs="Arial"/>
          <w:color w:val="0000FF"/>
          <w:sz w:val="27"/>
          <w:szCs w:val="27"/>
          <w:lang w:val="ro-RO" w:eastAsia="ro-RO"/>
        </w:rPr>
        <w:lastRenderedPageBreak/>
        <w:t>national de raportare. Soldurile finale ale anului 2017 s-au transformat automat in solduri initiale pentru anul 2018. Pentru cei care doresc sa efectueze modificari ale soldurilor initiale, acest lucru nu mai este posibil. Orice diferente ale soldurilor initiale, care se doresc a fi corectate, se efectueaza prin transmiterea corecturilor in formularul F1102 al balantei pentru luna decembrie 2018, in asa fel incat soldurile finale din sistemul national de raportare Forexebug, sa corespunda cu  soldurile finale din contabilitatea proprie, la nivel de cont si clasificatie bugetara. </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Times New Roman" w:eastAsia="Times New Roman" w:hAnsi="Times New Roman" w:cs="Times New Roman"/>
          <w:sz w:val="24"/>
          <w:szCs w:val="24"/>
          <w:lang w:val="ro-RO" w:eastAsia="ro-RO"/>
        </w:rPr>
        <w:br/>
      </w:r>
      <w:r w:rsidRPr="00156A5F">
        <w:rPr>
          <w:rFonts w:ascii="Arial" w:eastAsia="Times New Roman" w:hAnsi="Arial" w:cs="Arial"/>
          <w:b/>
          <w:bCs/>
          <w:sz w:val="27"/>
          <w:szCs w:val="27"/>
          <w:lang w:val="ro-RO" w:eastAsia="ro-RO"/>
        </w:rPr>
        <w:t>Ordonanța de urgență nr. 114/2018 privind instituirea unor măsuri în domeniul investițiilor publice și a unor măsuri fiscal-bugetare, modificarea și completarea unor acte normative și prorogarea unor termene pentru anul 2019, prevede:</w:t>
      </w:r>
    </w:p>
    <w:p w:rsidR="00156A5F" w:rsidRPr="00156A5F" w:rsidRDefault="00156A5F" w:rsidP="00156A5F">
      <w:pPr>
        <w:spacing w:after="0" w:line="240" w:lineRule="auto"/>
        <w:rPr>
          <w:rFonts w:ascii="Times New Roman" w:eastAsia="Times New Roman" w:hAnsi="Times New Roman" w:cs="Times New Roman"/>
          <w:sz w:val="24"/>
          <w:szCs w:val="24"/>
          <w:lang w:val="ro-RO" w:eastAsia="ro-RO"/>
        </w:rPr>
      </w:pPr>
      <w:r w:rsidRPr="00156A5F">
        <w:rPr>
          <w:rFonts w:ascii="Arial" w:eastAsia="Times New Roman" w:hAnsi="Arial" w:cs="Arial"/>
          <w:color w:val="222222"/>
          <w:sz w:val="24"/>
          <w:szCs w:val="24"/>
          <w:lang w:val="ro-RO" w:eastAsia="ro-RO"/>
        </w:rPr>
        <w:br/>
      </w:r>
      <w:hyperlink r:id="rId6" w:tgtFrame="_blank" w:history="1">
        <w:r w:rsidRPr="00156A5F">
          <w:rPr>
            <w:rFonts w:ascii="Arial" w:eastAsia="Times New Roman" w:hAnsi="Arial" w:cs="Arial"/>
            <w:b/>
            <w:bCs/>
            <w:color w:val="1155CC"/>
            <w:sz w:val="27"/>
            <w:szCs w:val="27"/>
            <w:u w:val="single"/>
            <w:shd w:val="clear" w:color="auto" w:fill="FFFFFF"/>
            <w:lang w:val="ro-RO" w:eastAsia="ro-RO"/>
          </w:rPr>
          <w:t>Art. 70. -</w:t>
        </w:r>
      </w:hyperlink>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hyperlink r:id="rId7" w:anchor="p-276526640" w:tgtFrame="_blank" w:history="1">
        <w:r w:rsidRPr="00156A5F">
          <w:rPr>
            <w:rFonts w:ascii="Arial" w:eastAsia="Times New Roman" w:hAnsi="Arial" w:cs="Arial"/>
            <w:color w:val="1155CC"/>
            <w:sz w:val="27"/>
            <w:szCs w:val="27"/>
            <w:u w:val="single"/>
            <w:shd w:val="clear" w:color="auto" w:fill="FFFFFF"/>
            <w:lang w:val="ro-RO" w:eastAsia="ro-RO"/>
          </w:rPr>
          <w:t>Alineatele (2)</w:t>
        </w:r>
      </w:hyperlink>
      <w:r w:rsidRPr="00156A5F">
        <w:rPr>
          <w:rFonts w:ascii="Arial" w:eastAsia="Times New Roman" w:hAnsi="Arial" w:cs="Arial"/>
          <w:color w:val="222222"/>
          <w:sz w:val="27"/>
          <w:szCs w:val="27"/>
          <w:shd w:val="clear" w:color="auto" w:fill="FFFFFF"/>
          <w:lang w:val="ro-RO" w:eastAsia="ro-RO"/>
        </w:rPr>
        <w:t> și </w:t>
      </w:r>
      <w:hyperlink r:id="rId8" w:anchor="p-276526641" w:tgtFrame="_blank" w:history="1">
        <w:r w:rsidRPr="00156A5F">
          <w:rPr>
            <w:rFonts w:ascii="Arial" w:eastAsia="Times New Roman" w:hAnsi="Arial" w:cs="Arial"/>
            <w:color w:val="1155CC"/>
            <w:sz w:val="27"/>
            <w:szCs w:val="27"/>
            <w:u w:val="single"/>
            <w:shd w:val="clear" w:color="auto" w:fill="FFFFFF"/>
            <w:lang w:val="ro-RO" w:eastAsia="ro-RO"/>
          </w:rPr>
          <w:t>(3)</w:t>
        </w:r>
      </w:hyperlink>
      <w:r w:rsidRPr="00156A5F">
        <w:rPr>
          <w:rFonts w:ascii="Arial" w:eastAsia="Times New Roman" w:hAnsi="Arial" w:cs="Arial"/>
          <w:color w:val="222222"/>
          <w:sz w:val="27"/>
          <w:szCs w:val="27"/>
          <w:shd w:val="clear" w:color="auto" w:fill="FFFFFF"/>
          <w:lang w:val="ro-RO" w:eastAsia="ro-RO"/>
        </w:rPr>
        <w:t> ale articolului 9 din Ordonanța de urgență a Guvernului nr. 88/2013 privind adoptarea unor măsuri fiscal-bugetare pentru îndeplinirea unor angajamente convenite cu organismele internaționale, precum și pentru modificarea și completarea unor acte normative, publicată în Monitorul Oficial al României, Partea I, nr. 593 din 20 septembrie 2013, aprobată cu modificări prin Legea </w:t>
      </w:r>
      <w:hyperlink r:id="rId9" w:tgtFrame="_blank" w:history="1">
        <w:r w:rsidRPr="00156A5F">
          <w:rPr>
            <w:rFonts w:ascii="Arial" w:eastAsia="Times New Roman" w:hAnsi="Arial" w:cs="Arial"/>
            <w:color w:val="1155CC"/>
            <w:sz w:val="27"/>
            <w:szCs w:val="27"/>
            <w:u w:val="single"/>
            <w:shd w:val="clear" w:color="auto" w:fill="FFFFFF"/>
            <w:lang w:val="ro-RO" w:eastAsia="ro-RO"/>
          </w:rPr>
          <w:t>nr. 25/2014</w:t>
        </w:r>
      </w:hyperlink>
      <w:r w:rsidRPr="00156A5F">
        <w:rPr>
          <w:rFonts w:ascii="Arial" w:eastAsia="Times New Roman" w:hAnsi="Arial" w:cs="Arial"/>
          <w:color w:val="222222"/>
          <w:sz w:val="27"/>
          <w:szCs w:val="27"/>
          <w:shd w:val="clear" w:color="auto" w:fill="FFFFFF"/>
          <w:lang w:val="ro-RO" w:eastAsia="ro-RO"/>
        </w:rPr>
        <w:t>, cu modificările și completările ulterioare, se modifică și vor avea următorul cuprins:</w:t>
      </w:r>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r w:rsidRPr="00156A5F">
        <w:rPr>
          <w:rFonts w:ascii="Arial" w:eastAsia="Times New Roman" w:hAnsi="Arial" w:cs="Arial"/>
          <w:i/>
          <w:iCs/>
          <w:color w:val="222222"/>
          <w:sz w:val="27"/>
          <w:szCs w:val="27"/>
          <w:shd w:val="clear" w:color="auto" w:fill="FFFFFF"/>
          <w:lang w:val="ro-RO" w:eastAsia="ro-RO"/>
        </w:rPr>
        <w:t>"</w:t>
      </w:r>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r w:rsidRPr="00156A5F">
        <w:rPr>
          <w:rFonts w:ascii="Arial" w:eastAsia="Times New Roman" w:hAnsi="Arial" w:cs="Arial"/>
          <w:b/>
          <w:bCs/>
          <w:i/>
          <w:iCs/>
          <w:color w:val="222222"/>
          <w:sz w:val="27"/>
          <w:szCs w:val="27"/>
          <w:shd w:val="clear" w:color="auto" w:fill="FFFFFF"/>
          <w:lang w:val="ro-RO" w:eastAsia="ro-RO"/>
        </w:rPr>
        <w:t>(2) Până la data de 31 iulie 2019</w:t>
      </w:r>
      <w:r w:rsidRPr="00156A5F">
        <w:rPr>
          <w:rFonts w:ascii="Arial" w:eastAsia="Times New Roman" w:hAnsi="Arial" w:cs="Arial"/>
          <w:i/>
          <w:iCs/>
          <w:color w:val="222222"/>
          <w:sz w:val="27"/>
          <w:szCs w:val="27"/>
          <w:shd w:val="clear" w:color="auto" w:fill="FFFFFF"/>
          <w:lang w:val="ro-RO" w:eastAsia="ro-RO"/>
        </w:rPr>
        <w:t>, în paralel cu utilizarea sistemului național de raportare, entitățile publice au obligația de a întocmi și de a depune situațiile financiare și celelalte tipuri de rapoarte stabilite pe baza datelor din evidența contabilă, pe suport hârtie, în formatul și la termenele stabilite de normele contabile în vigoare și de a depune bugetele de venituri și cheltuieli aprobate potrivit legislației în vigoare la unitățile Trezoreriei Statului, pe suport hârtie.</w:t>
      </w:r>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r w:rsidRPr="00156A5F">
        <w:rPr>
          <w:rFonts w:ascii="Arial" w:eastAsia="Times New Roman" w:hAnsi="Arial" w:cs="Arial"/>
          <w:b/>
          <w:bCs/>
          <w:i/>
          <w:iCs/>
          <w:color w:val="222222"/>
          <w:sz w:val="27"/>
          <w:szCs w:val="27"/>
          <w:shd w:val="clear" w:color="auto" w:fill="FFFFFF"/>
          <w:lang w:val="ro-RO" w:eastAsia="ro-RO"/>
        </w:rPr>
        <w:t>(3)</w:t>
      </w:r>
      <w:r w:rsidRPr="00156A5F">
        <w:rPr>
          <w:rFonts w:ascii="Arial" w:eastAsia="Times New Roman" w:hAnsi="Arial" w:cs="Arial"/>
          <w:i/>
          <w:iCs/>
          <w:color w:val="222222"/>
          <w:sz w:val="27"/>
          <w:szCs w:val="27"/>
          <w:shd w:val="clear" w:color="auto" w:fill="FFFFFF"/>
          <w:lang w:val="ro-RO" w:eastAsia="ro-RO"/>
        </w:rPr>
        <w:t> </w:t>
      </w:r>
      <w:r w:rsidRPr="00156A5F">
        <w:rPr>
          <w:rFonts w:ascii="Arial" w:eastAsia="Times New Roman" w:hAnsi="Arial" w:cs="Arial"/>
          <w:b/>
          <w:bCs/>
          <w:i/>
          <w:iCs/>
          <w:color w:val="222222"/>
          <w:sz w:val="27"/>
          <w:szCs w:val="27"/>
          <w:shd w:val="clear" w:color="auto" w:fill="FFFFFF"/>
          <w:lang w:val="ro-RO" w:eastAsia="ro-RO"/>
        </w:rPr>
        <w:t>Începând cu data de 1 august 2019</w:t>
      </w:r>
      <w:r w:rsidRPr="00156A5F">
        <w:rPr>
          <w:rFonts w:ascii="Arial" w:eastAsia="Times New Roman" w:hAnsi="Arial" w:cs="Arial"/>
          <w:i/>
          <w:iCs/>
          <w:color w:val="222222"/>
          <w:sz w:val="27"/>
          <w:szCs w:val="27"/>
          <w:shd w:val="clear" w:color="auto" w:fill="FFFFFF"/>
          <w:lang w:val="ro-RO" w:eastAsia="ro-RO"/>
        </w:rPr>
        <w:t>, rapoartele acceptate de sistem nu se mai transmit pe suport hârtie către Ministerul Finanțelor Publice și unitățile subordonate."</w:t>
      </w:r>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r w:rsidRPr="00156A5F">
        <w:rPr>
          <w:rFonts w:ascii="Arial" w:eastAsia="Times New Roman" w:hAnsi="Arial" w:cs="Arial"/>
          <w:color w:val="222222"/>
          <w:sz w:val="24"/>
          <w:szCs w:val="24"/>
          <w:lang w:val="ro-RO" w:eastAsia="ro-RO"/>
        </w:rPr>
        <w:br/>
      </w:r>
      <w:r w:rsidRPr="00156A5F">
        <w:rPr>
          <w:rFonts w:ascii="Arial" w:eastAsia="Times New Roman" w:hAnsi="Arial" w:cs="Arial"/>
          <w:color w:val="222222"/>
          <w:sz w:val="27"/>
          <w:szCs w:val="27"/>
          <w:shd w:val="clear" w:color="auto" w:fill="FFFFFF"/>
          <w:lang w:val="ro-RO" w:eastAsia="ro-RO"/>
        </w:rPr>
        <w:t>Avand in vedere ca prin OUG 114/2018 </w:t>
      </w:r>
      <w:r w:rsidRPr="00156A5F">
        <w:rPr>
          <w:rFonts w:ascii="Arial" w:eastAsia="Times New Roman" w:hAnsi="Arial" w:cs="Arial"/>
          <w:b/>
          <w:bCs/>
          <w:color w:val="222222"/>
          <w:sz w:val="27"/>
          <w:szCs w:val="27"/>
          <w:shd w:val="clear" w:color="auto" w:fill="FFFFFF"/>
          <w:lang w:val="ro-RO" w:eastAsia="ro-RO"/>
        </w:rPr>
        <w:t>se creeaza obligativitatea raportarii situatiilor financiare in paralel, doar pana la 31 iulie 2019, dupa aceasta data ramanand doar raportarile in Forexebug, trebuie sa se acorde o atentie deosebita privind corectitudinea soldurilor finale din balanta de verificare.</w:t>
      </w:r>
      <w:r w:rsidRPr="00156A5F">
        <w:rPr>
          <w:rFonts w:ascii="Arial" w:eastAsia="Times New Roman" w:hAnsi="Arial" w:cs="Arial"/>
          <w:color w:val="222222"/>
          <w:sz w:val="24"/>
          <w:szCs w:val="24"/>
          <w:shd w:val="clear" w:color="auto" w:fill="FFFFFF"/>
          <w:lang w:val="ro-RO" w:eastAsia="ro-RO"/>
        </w:rPr>
        <w:t> </w:t>
      </w:r>
      <w:r w:rsidRPr="00156A5F">
        <w:rPr>
          <w:rFonts w:ascii="Arial" w:eastAsia="Times New Roman" w:hAnsi="Arial" w:cs="Arial"/>
          <w:color w:val="222222"/>
          <w:sz w:val="24"/>
          <w:szCs w:val="24"/>
          <w:lang w:val="ro-RO" w:eastAsia="ro-RO"/>
        </w:rPr>
        <w:br/>
      </w:r>
      <w:r w:rsidRPr="00156A5F">
        <w:rPr>
          <w:rFonts w:ascii="Arial" w:eastAsia="Times New Roman" w:hAnsi="Arial" w:cs="Arial"/>
          <w:color w:val="222222"/>
          <w:sz w:val="24"/>
          <w:szCs w:val="24"/>
          <w:lang w:val="ro-RO" w:eastAsia="ro-RO"/>
        </w:rPr>
        <w:br/>
      </w:r>
      <w:r w:rsidRPr="00156A5F">
        <w:rPr>
          <w:rFonts w:ascii="Arial" w:eastAsia="Times New Roman" w:hAnsi="Arial" w:cs="Arial"/>
          <w:color w:val="222222"/>
          <w:sz w:val="27"/>
          <w:szCs w:val="27"/>
          <w:shd w:val="clear" w:color="auto" w:fill="FFFFFF"/>
          <w:lang w:val="ro-RO" w:eastAsia="ro-RO"/>
        </w:rPr>
        <w:t xml:space="preserve">Pana pe data de 15 ianuarie nu se vor mai procesa formularele depuse. Se pot depune in continuare formularele din sfera situatiilor financiare, dar </w:t>
      </w:r>
      <w:r w:rsidRPr="00156A5F">
        <w:rPr>
          <w:rFonts w:ascii="Arial" w:eastAsia="Times New Roman" w:hAnsi="Arial" w:cs="Arial"/>
          <w:color w:val="222222"/>
          <w:sz w:val="27"/>
          <w:szCs w:val="27"/>
          <w:shd w:val="clear" w:color="auto" w:fill="FFFFFF"/>
          <w:lang w:val="ro-RO" w:eastAsia="ro-RO"/>
        </w:rPr>
        <w:lastRenderedPageBreak/>
        <w:t>acestea se vor procesa dupa inchiderea conturilor din trezorerii. Avand in vedere specificatiile din acest mail termenele finale de depunere pentru luna decembrie se vor extinde pana la sfarsitul lunii ianuarie. Astfel se asigura si timpul necesar eliminarii eventualelor diferente a  valorilor raportate in situatiile letrice fata de cele raportate in Forexebug.</w:t>
      </w:r>
    </w:p>
    <w:p w:rsidR="00184FBD" w:rsidRDefault="00184FBD" w:rsidP="00156A5F">
      <w:pPr>
        <w:jc w:val="both"/>
      </w:pPr>
    </w:p>
    <w:sectPr w:rsidR="00184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5F"/>
    <w:rsid w:val="000015DF"/>
    <w:rsid w:val="00007DF5"/>
    <w:rsid w:val="0002013D"/>
    <w:rsid w:val="00024A46"/>
    <w:rsid w:val="00033E6E"/>
    <w:rsid w:val="00036472"/>
    <w:rsid w:val="0003668C"/>
    <w:rsid w:val="00037C5C"/>
    <w:rsid w:val="00045CCC"/>
    <w:rsid w:val="00046887"/>
    <w:rsid w:val="00052072"/>
    <w:rsid w:val="00053CC6"/>
    <w:rsid w:val="0005638F"/>
    <w:rsid w:val="00067E1F"/>
    <w:rsid w:val="00070B5E"/>
    <w:rsid w:val="000723D4"/>
    <w:rsid w:val="00072592"/>
    <w:rsid w:val="00074840"/>
    <w:rsid w:val="00074F1A"/>
    <w:rsid w:val="00081013"/>
    <w:rsid w:val="00081AB8"/>
    <w:rsid w:val="00081DDE"/>
    <w:rsid w:val="00085E60"/>
    <w:rsid w:val="000905FC"/>
    <w:rsid w:val="00093396"/>
    <w:rsid w:val="000935CE"/>
    <w:rsid w:val="00093B4D"/>
    <w:rsid w:val="00094FD1"/>
    <w:rsid w:val="000A5881"/>
    <w:rsid w:val="000A5D3E"/>
    <w:rsid w:val="000A5EEF"/>
    <w:rsid w:val="000B159F"/>
    <w:rsid w:val="000B2036"/>
    <w:rsid w:val="000B2C9D"/>
    <w:rsid w:val="000D2E5C"/>
    <w:rsid w:val="000D3790"/>
    <w:rsid w:val="000D6303"/>
    <w:rsid w:val="000E0E28"/>
    <w:rsid w:val="000E0FBA"/>
    <w:rsid w:val="000E4777"/>
    <w:rsid w:val="000E5705"/>
    <w:rsid w:val="000F0BEC"/>
    <w:rsid w:val="000F17E6"/>
    <w:rsid w:val="000F19B2"/>
    <w:rsid w:val="000F2BC7"/>
    <w:rsid w:val="000F4134"/>
    <w:rsid w:val="000F5EEE"/>
    <w:rsid w:val="000F77D9"/>
    <w:rsid w:val="00114E26"/>
    <w:rsid w:val="0011594C"/>
    <w:rsid w:val="001271ED"/>
    <w:rsid w:val="00130A6C"/>
    <w:rsid w:val="00131B55"/>
    <w:rsid w:val="00132856"/>
    <w:rsid w:val="00134410"/>
    <w:rsid w:val="00141BE2"/>
    <w:rsid w:val="00143571"/>
    <w:rsid w:val="00153015"/>
    <w:rsid w:val="00154777"/>
    <w:rsid w:val="00156A5F"/>
    <w:rsid w:val="00163DD6"/>
    <w:rsid w:val="0016792D"/>
    <w:rsid w:val="00167BD8"/>
    <w:rsid w:val="00171371"/>
    <w:rsid w:val="00172A26"/>
    <w:rsid w:val="0017695F"/>
    <w:rsid w:val="00177DCB"/>
    <w:rsid w:val="0018382C"/>
    <w:rsid w:val="00184563"/>
    <w:rsid w:val="00184FBD"/>
    <w:rsid w:val="00190E23"/>
    <w:rsid w:val="00192924"/>
    <w:rsid w:val="00193B92"/>
    <w:rsid w:val="00195DB6"/>
    <w:rsid w:val="00197751"/>
    <w:rsid w:val="001A07F7"/>
    <w:rsid w:val="001A1407"/>
    <w:rsid w:val="001A2EB0"/>
    <w:rsid w:val="001A6A4B"/>
    <w:rsid w:val="001B09C7"/>
    <w:rsid w:val="001B24F2"/>
    <w:rsid w:val="001B4B21"/>
    <w:rsid w:val="001C56A8"/>
    <w:rsid w:val="001C69D1"/>
    <w:rsid w:val="001D387C"/>
    <w:rsid w:val="001D77C8"/>
    <w:rsid w:val="001F168D"/>
    <w:rsid w:val="001F340D"/>
    <w:rsid w:val="002060A1"/>
    <w:rsid w:val="00212FE7"/>
    <w:rsid w:val="00224BE1"/>
    <w:rsid w:val="0022601A"/>
    <w:rsid w:val="00227033"/>
    <w:rsid w:val="00232DAA"/>
    <w:rsid w:val="00240A8E"/>
    <w:rsid w:val="00241E70"/>
    <w:rsid w:val="00243CB0"/>
    <w:rsid w:val="0024584A"/>
    <w:rsid w:val="0024766B"/>
    <w:rsid w:val="00262FDE"/>
    <w:rsid w:val="00266FDD"/>
    <w:rsid w:val="00280779"/>
    <w:rsid w:val="002817B3"/>
    <w:rsid w:val="00282C47"/>
    <w:rsid w:val="0028565A"/>
    <w:rsid w:val="0028715A"/>
    <w:rsid w:val="00290C9A"/>
    <w:rsid w:val="00292346"/>
    <w:rsid w:val="00292623"/>
    <w:rsid w:val="002B05B5"/>
    <w:rsid w:val="002B6133"/>
    <w:rsid w:val="002C2C58"/>
    <w:rsid w:val="002C38FE"/>
    <w:rsid w:val="002C4201"/>
    <w:rsid w:val="002C6516"/>
    <w:rsid w:val="002C6A13"/>
    <w:rsid w:val="002D03F6"/>
    <w:rsid w:val="002D1B8B"/>
    <w:rsid w:val="002D293E"/>
    <w:rsid w:val="002E19F1"/>
    <w:rsid w:val="002E3FE9"/>
    <w:rsid w:val="002E4677"/>
    <w:rsid w:val="002E5187"/>
    <w:rsid w:val="002E577D"/>
    <w:rsid w:val="002E5EC1"/>
    <w:rsid w:val="002F1E2F"/>
    <w:rsid w:val="002F3E7A"/>
    <w:rsid w:val="002F4458"/>
    <w:rsid w:val="00301456"/>
    <w:rsid w:val="003018D5"/>
    <w:rsid w:val="00302A8E"/>
    <w:rsid w:val="0030503D"/>
    <w:rsid w:val="00307E18"/>
    <w:rsid w:val="00311A2B"/>
    <w:rsid w:val="00311AC1"/>
    <w:rsid w:val="00323E68"/>
    <w:rsid w:val="00324096"/>
    <w:rsid w:val="00333FC6"/>
    <w:rsid w:val="00334BFD"/>
    <w:rsid w:val="00335C8A"/>
    <w:rsid w:val="00342D70"/>
    <w:rsid w:val="003456C2"/>
    <w:rsid w:val="003469B5"/>
    <w:rsid w:val="00350BFD"/>
    <w:rsid w:val="00355079"/>
    <w:rsid w:val="003563D8"/>
    <w:rsid w:val="00362C0F"/>
    <w:rsid w:val="003678AE"/>
    <w:rsid w:val="003725D9"/>
    <w:rsid w:val="00373DDF"/>
    <w:rsid w:val="00375124"/>
    <w:rsid w:val="0038255C"/>
    <w:rsid w:val="003914C2"/>
    <w:rsid w:val="003A22E3"/>
    <w:rsid w:val="003A329F"/>
    <w:rsid w:val="003B4F0B"/>
    <w:rsid w:val="003C199C"/>
    <w:rsid w:val="003C41B8"/>
    <w:rsid w:val="003D7A7E"/>
    <w:rsid w:val="003E5485"/>
    <w:rsid w:val="003E78D9"/>
    <w:rsid w:val="003F1861"/>
    <w:rsid w:val="003F3A00"/>
    <w:rsid w:val="004009AB"/>
    <w:rsid w:val="0040132D"/>
    <w:rsid w:val="004019B8"/>
    <w:rsid w:val="00406F4E"/>
    <w:rsid w:val="004073EC"/>
    <w:rsid w:val="00410E49"/>
    <w:rsid w:val="004119FF"/>
    <w:rsid w:val="00415520"/>
    <w:rsid w:val="0041596C"/>
    <w:rsid w:val="0041723A"/>
    <w:rsid w:val="0042464C"/>
    <w:rsid w:val="004375AE"/>
    <w:rsid w:val="00442EB4"/>
    <w:rsid w:val="0044368F"/>
    <w:rsid w:val="00444F11"/>
    <w:rsid w:val="00447A42"/>
    <w:rsid w:val="00447B2E"/>
    <w:rsid w:val="00447C71"/>
    <w:rsid w:val="00451017"/>
    <w:rsid w:val="00453412"/>
    <w:rsid w:val="00453C98"/>
    <w:rsid w:val="0045717D"/>
    <w:rsid w:val="00457D95"/>
    <w:rsid w:val="004633E5"/>
    <w:rsid w:val="00464900"/>
    <w:rsid w:val="00467163"/>
    <w:rsid w:val="00470653"/>
    <w:rsid w:val="0047126E"/>
    <w:rsid w:val="004817D5"/>
    <w:rsid w:val="00490AB8"/>
    <w:rsid w:val="004A24DD"/>
    <w:rsid w:val="004B248E"/>
    <w:rsid w:val="004B2C3C"/>
    <w:rsid w:val="004B53FC"/>
    <w:rsid w:val="004B662A"/>
    <w:rsid w:val="004C222C"/>
    <w:rsid w:val="004C2824"/>
    <w:rsid w:val="004C6545"/>
    <w:rsid w:val="004D3641"/>
    <w:rsid w:val="004D6036"/>
    <w:rsid w:val="004E1671"/>
    <w:rsid w:val="004E2762"/>
    <w:rsid w:val="004E3C6B"/>
    <w:rsid w:val="004E5C58"/>
    <w:rsid w:val="004E6DE8"/>
    <w:rsid w:val="004E79A8"/>
    <w:rsid w:val="004F11EC"/>
    <w:rsid w:val="004F3F4B"/>
    <w:rsid w:val="004F5D53"/>
    <w:rsid w:val="005017F9"/>
    <w:rsid w:val="005036A1"/>
    <w:rsid w:val="0050621B"/>
    <w:rsid w:val="005103A2"/>
    <w:rsid w:val="00513134"/>
    <w:rsid w:val="0051375F"/>
    <w:rsid w:val="00517740"/>
    <w:rsid w:val="00521EE4"/>
    <w:rsid w:val="00522029"/>
    <w:rsid w:val="00525F7B"/>
    <w:rsid w:val="00533F53"/>
    <w:rsid w:val="00540AA6"/>
    <w:rsid w:val="00542923"/>
    <w:rsid w:val="00545269"/>
    <w:rsid w:val="00545E2E"/>
    <w:rsid w:val="005463EA"/>
    <w:rsid w:val="0055340A"/>
    <w:rsid w:val="00553528"/>
    <w:rsid w:val="00555627"/>
    <w:rsid w:val="00565175"/>
    <w:rsid w:val="005658C8"/>
    <w:rsid w:val="005660FA"/>
    <w:rsid w:val="005661D0"/>
    <w:rsid w:val="0057278C"/>
    <w:rsid w:val="00574EA7"/>
    <w:rsid w:val="005826CC"/>
    <w:rsid w:val="0059131E"/>
    <w:rsid w:val="005936C7"/>
    <w:rsid w:val="00597A2B"/>
    <w:rsid w:val="005A0A85"/>
    <w:rsid w:val="005B550D"/>
    <w:rsid w:val="005C2789"/>
    <w:rsid w:val="005C46D4"/>
    <w:rsid w:val="005C5D5D"/>
    <w:rsid w:val="005D1639"/>
    <w:rsid w:val="005D5900"/>
    <w:rsid w:val="005E1912"/>
    <w:rsid w:val="005E4443"/>
    <w:rsid w:val="005E5C3D"/>
    <w:rsid w:val="005E748A"/>
    <w:rsid w:val="005F121B"/>
    <w:rsid w:val="005F20BE"/>
    <w:rsid w:val="005F35B8"/>
    <w:rsid w:val="005F428D"/>
    <w:rsid w:val="005F5E6B"/>
    <w:rsid w:val="005F74BA"/>
    <w:rsid w:val="00607D86"/>
    <w:rsid w:val="00615A10"/>
    <w:rsid w:val="006234E0"/>
    <w:rsid w:val="00627EA0"/>
    <w:rsid w:val="0065114E"/>
    <w:rsid w:val="00664071"/>
    <w:rsid w:val="006818A6"/>
    <w:rsid w:val="0068579D"/>
    <w:rsid w:val="00687525"/>
    <w:rsid w:val="006930B5"/>
    <w:rsid w:val="00695C0C"/>
    <w:rsid w:val="006A2239"/>
    <w:rsid w:val="006A29D6"/>
    <w:rsid w:val="006A3180"/>
    <w:rsid w:val="006A6B68"/>
    <w:rsid w:val="006B00BF"/>
    <w:rsid w:val="006B680F"/>
    <w:rsid w:val="006B6A68"/>
    <w:rsid w:val="006C22DA"/>
    <w:rsid w:val="006C6ABA"/>
    <w:rsid w:val="006D36D4"/>
    <w:rsid w:val="006D3775"/>
    <w:rsid w:val="006D4D91"/>
    <w:rsid w:val="006D5C0E"/>
    <w:rsid w:val="006D698F"/>
    <w:rsid w:val="006D6B6C"/>
    <w:rsid w:val="006E07C6"/>
    <w:rsid w:val="006E2889"/>
    <w:rsid w:val="006E288B"/>
    <w:rsid w:val="006E30A8"/>
    <w:rsid w:val="006E33BB"/>
    <w:rsid w:val="006E380A"/>
    <w:rsid w:val="006F11E5"/>
    <w:rsid w:val="007050C4"/>
    <w:rsid w:val="00710A87"/>
    <w:rsid w:val="00712B9C"/>
    <w:rsid w:val="00712E93"/>
    <w:rsid w:val="00713333"/>
    <w:rsid w:val="00715720"/>
    <w:rsid w:val="00717CB4"/>
    <w:rsid w:val="00720334"/>
    <w:rsid w:val="007279B8"/>
    <w:rsid w:val="00727D3F"/>
    <w:rsid w:val="00730092"/>
    <w:rsid w:val="007324AD"/>
    <w:rsid w:val="00733AD3"/>
    <w:rsid w:val="00733B59"/>
    <w:rsid w:val="00734DAB"/>
    <w:rsid w:val="00735520"/>
    <w:rsid w:val="00740778"/>
    <w:rsid w:val="007414A1"/>
    <w:rsid w:val="00742FBE"/>
    <w:rsid w:val="00753B59"/>
    <w:rsid w:val="00754488"/>
    <w:rsid w:val="007556D5"/>
    <w:rsid w:val="007655DB"/>
    <w:rsid w:val="007660E3"/>
    <w:rsid w:val="00767CE6"/>
    <w:rsid w:val="00770950"/>
    <w:rsid w:val="00772159"/>
    <w:rsid w:val="00772352"/>
    <w:rsid w:val="007729B8"/>
    <w:rsid w:val="00773614"/>
    <w:rsid w:val="00775097"/>
    <w:rsid w:val="00775E0D"/>
    <w:rsid w:val="00787596"/>
    <w:rsid w:val="00795387"/>
    <w:rsid w:val="007A24D5"/>
    <w:rsid w:val="007A4B9F"/>
    <w:rsid w:val="007A5B10"/>
    <w:rsid w:val="007A602F"/>
    <w:rsid w:val="007A7586"/>
    <w:rsid w:val="007B2893"/>
    <w:rsid w:val="007C50B7"/>
    <w:rsid w:val="007D121F"/>
    <w:rsid w:val="007D1EC7"/>
    <w:rsid w:val="007D36D3"/>
    <w:rsid w:val="007D5752"/>
    <w:rsid w:val="007D6C12"/>
    <w:rsid w:val="007D74AC"/>
    <w:rsid w:val="007D7546"/>
    <w:rsid w:val="007E3F01"/>
    <w:rsid w:val="007E6C55"/>
    <w:rsid w:val="007F12CE"/>
    <w:rsid w:val="007F2A40"/>
    <w:rsid w:val="007F3492"/>
    <w:rsid w:val="00802A01"/>
    <w:rsid w:val="00804116"/>
    <w:rsid w:val="008129BE"/>
    <w:rsid w:val="008247C8"/>
    <w:rsid w:val="00824D02"/>
    <w:rsid w:val="00825751"/>
    <w:rsid w:val="00834562"/>
    <w:rsid w:val="008411AF"/>
    <w:rsid w:val="008434AB"/>
    <w:rsid w:val="00844247"/>
    <w:rsid w:val="0084474C"/>
    <w:rsid w:val="008474AB"/>
    <w:rsid w:val="00853128"/>
    <w:rsid w:val="00863107"/>
    <w:rsid w:val="00863A73"/>
    <w:rsid w:val="00865C87"/>
    <w:rsid w:val="00871707"/>
    <w:rsid w:val="00875857"/>
    <w:rsid w:val="0088367A"/>
    <w:rsid w:val="00885F24"/>
    <w:rsid w:val="00890CD4"/>
    <w:rsid w:val="0089176D"/>
    <w:rsid w:val="00893F69"/>
    <w:rsid w:val="00894C7C"/>
    <w:rsid w:val="008A03B9"/>
    <w:rsid w:val="008A3108"/>
    <w:rsid w:val="008A59CC"/>
    <w:rsid w:val="008A6116"/>
    <w:rsid w:val="008B3672"/>
    <w:rsid w:val="008B7DF2"/>
    <w:rsid w:val="008C1A45"/>
    <w:rsid w:val="008C2570"/>
    <w:rsid w:val="008C27A3"/>
    <w:rsid w:val="008C403E"/>
    <w:rsid w:val="008C5E2B"/>
    <w:rsid w:val="008C67F8"/>
    <w:rsid w:val="008D6381"/>
    <w:rsid w:val="008E2E26"/>
    <w:rsid w:val="008E3B4B"/>
    <w:rsid w:val="008E7A37"/>
    <w:rsid w:val="008F45EB"/>
    <w:rsid w:val="00910A38"/>
    <w:rsid w:val="0091285F"/>
    <w:rsid w:val="00913815"/>
    <w:rsid w:val="009142EE"/>
    <w:rsid w:val="00920936"/>
    <w:rsid w:val="009225A5"/>
    <w:rsid w:val="00922ABB"/>
    <w:rsid w:val="0092458E"/>
    <w:rsid w:val="00940C6B"/>
    <w:rsid w:val="009414F2"/>
    <w:rsid w:val="00941BBB"/>
    <w:rsid w:val="0094655E"/>
    <w:rsid w:val="009601E5"/>
    <w:rsid w:val="009619A0"/>
    <w:rsid w:val="0096496D"/>
    <w:rsid w:val="00966E04"/>
    <w:rsid w:val="00974153"/>
    <w:rsid w:val="00981D54"/>
    <w:rsid w:val="00981E44"/>
    <w:rsid w:val="009855AA"/>
    <w:rsid w:val="00985998"/>
    <w:rsid w:val="00985A48"/>
    <w:rsid w:val="0098697F"/>
    <w:rsid w:val="00991534"/>
    <w:rsid w:val="00993145"/>
    <w:rsid w:val="009952A3"/>
    <w:rsid w:val="009A52C6"/>
    <w:rsid w:val="009A6E3E"/>
    <w:rsid w:val="009A7F8C"/>
    <w:rsid w:val="009B2494"/>
    <w:rsid w:val="009B4AC9"/>
    <w:rsid w:val="009C22FF"/>
    <w:rsid w:val="009D75D6"/>
    <w:rsid w:val="009E2AD9"/>
    <w:rsid w:val="009E374B"/>
    <w:rsid w:val="009F1E08"/>
    <w:rsid w:val="009F2D11"/>
    <w:rsid w:val="009F4634"/>
    <w:rsid w:val="009F4A9D"/>
    <w:rsid w:val="009F57E9"/>
    <w:rsid w:val="009F6A82"/>
    <w:rsid w:val="00A01A72"/>
    <w:rsid w:val="00A10BF6"/>
    <w:rsid w:val="00A10E03"/>
    <w:rsid w:val="00A17B7E"/>
    <w:rsid w:val="00A367DC"/>
    <w:rsid w:val="00A456B2"/>
    <w:rsid w:val="00A57F4D"/>
    <w:rsid w:val="00A6328A"/>
    <w:rsid w:val="00A64A06"/>
    <w:rsid w:val="00A71306"/>
    <w:rsid w:val="00A736DD"/>
    <w:rsid w:val="00A7773E"/>
    <w:rsid w:val="00A80799"/>
    <w:rsid w:val="00A81E2C"/>
    <w:rsid w:val="00A84B1C"/>
    <w:rsid w:val="00A85CAF"/>
    <w:rsid w:val="00A85DFC"/>
    <w:rsid w:val="00A94E37"/>
    <w:rsid w:val="00A95944"/>
    <w:rsid w:val="00AA47F4"/>
    <w:rsid w:val="00AA6054"/>
    <w:rsid w:val="00AA74DA"/>
    <w:rsid w:val="00AB40B5"/>
    <w:rsid w:val="00AB4C23"/>
    <w:rsid w:val="00AC2117"/>
    <w:rsid w:val="00AC23EB"/>
    <w:rsid w:val="00AC2FE4"/>
    <w:rsid w:val="00AD0FD8"/>
    <w:rsid w:val="00AD3AD6"/>
    <w:rsid w:val="00AD7667"/>
    <w:rsid w:val="00AD7E38"/>
    <w:rsid w:val="00AE4443"/>
    <w:rsid w:val="00AE6F34"/>
    <w:rsid w:val="00AE754D"/>
    <w:rsid w:val="00AF0271"/>
    <w:rsid w:val="00AF0C6B"/>
    <w:rsid w:val="00AF4A74"/>
    <w:rsid w:val="00AF5350"/>
    <w:rsid w:val="00AF55EB"/>
    <w:rsid w:val="00AF777B"/>
    <w:rsid w:val="00B16F38"/>
    <w:rsid w:val="00B20F9E"/>
    <w:rsid w:val="00B21512"/>
    <w:rsid w:val="00B26AA6"/>
    <w:rsid w:val="00B3061C"/>
    <w:rsid w:val="00B36E41"/>
    <w:rsid w:val="00B4475F"/>
    <w:rsid w:val="00B54A29"/>
    <w:rsid w:val="00B57DBC"/>
    <w:rsid w:val="00B617E1"/>
    <w:rsid w:val="00B6259C"/>
    <w:rsid w:val="00B706AC"/>
    <w:rsid w:val="00B75AA1"/>
    <w:rsid w:val="00B77BD4"/>
    <w:rsid w:val="00B9000C"/>
    <w:rsid w:val="00B9102C"/>
    <w:rsid w:val="00B9508D"/>
    <w:rsid w:val="00BA15A6"/>
    <w:rsid w:val="00BA7FEE"/>
    <w:rsid w:val="00BB32D5"/>
    <w:rsid w:val="00BB4BBF"/>
    <w:rsid w:val="00BB76CC"/>
    <w:rsid w:val="00BC26DF"/>
    <w:rsid w:val="00BC2D02"/>
    <w:rsid w:val="00BC69C2"/>
    <w:rsid w:val="00BD5215"/>
    <w:rsid w:val="00BD7198"/>
    <w:rsid w:val="00BD7491"/>
    <w:rsid w:val="00BE7514"/>
    <w:rsid w:val="00BF7A7B"/>
    <w:rsid w:val="00BF7C44"/>
    <w:rsid w:val="00C06434"/>
    <w:rsid w:val="00C10A39"/>
    <w:rsid w:val="00C154B2"/>
    <w:rsid w:val="00C158DA"/>
    <w:rsid w:val="00C2198A"/>
    <w:rsid w:val="00C243CB"/>
    <w:rsid w:val="00C26656"/>
    <w:rsid w:val="00C26A3D"/>
    <w:rsid w:val="00C31BE4"/>
    <w:rsid w:val="00C41586"/>
    <w:rsid w:val="00C423F3"/>
    <w:rsid w:val="00C44B33"/>
    <w:rsid w:val="00C45368"/>
    <w:rsid w:val="00C4781D"/>
    <w:rsid w:val="00C47CCE"/>
    <w:rsid w:val="00C5349D"/>
    <w:rsid w:val="00C61CF4"/>
    <w:rsid w:val="00C6207A"/>
    <w:rsid w:val="00C64FC1"/>
    <w:rsid w:val="00C677B4"/>
    <w:rsid w:val="00C764C5"/>
    <w:rsid w:val="00C81AFE"/>
    <w:rsid w:val="00C83C1C"/>
    <w:rsid w:val="00C841C4"/>
    <w:rsid w:val="00C91B29"/>
    <w:rsid w:val="00C96FC9"/>
    <w:rsid w:val="00C9792E"/>
    <w:rsid w:val="00CA1794"/>
    <w:rsid w:val="00CB33F1"/>
    <w:rsid w:val="00CB5AFB"/>
    <w:rsid w:val="00CB7FF2"/>
    <w:rsid w:val="00CC0237"/>
    <w:rsid w:val="00CC17DC"/>
    <w:rsid w:val="00CC1CAF"/>
    <w:rsid w:val="00CC2D01"/>
    <w:rsid w:val="00CC5B50"/>
    <w:rsid w:val="00CD56B8"/>
    <w:rsid w:val="00CD5C29"/>
    <w:rsid w:val="00CE3B0C"/>
    <w:rsid w:val="00CF2372"/>
    <w:rsid w:val="00CF3086"/>
    <w:rsid w:val="00CF369C"/>
    <w:rsid w:val="00CF475A"/>
    <w:rsid w:val="00D004D1"/>
    <w:rsid w:val="00D11FF6"/>
    <w:rsid w:val="00D13052"/>
    <w:rsid w:val="00D14A9A"/>
    <w:rsid w:val="00D20636"/>
    <w:rsid w:val="00D24D08"/>
    <w:rsid w:val="00D25C88"/>
    <w:rsid w:val="00D26EB7"/>
    <w:rsid w:val="00D27F37"/>
    <w:rsid w:val="00D42E9B"/>
    <w:rsid w:val="00D43FF1"/>
    <w:rsid w:val="00D517E9"/>
    <w:rsid w:val="00D524B5"/>
    <w:rsid w:val="00D60424"/>
    <w:rsid w:val="00D640DE"/>
    <w:rsid w:val="00D70B31"/>
    <w:rsid w:val="00D81E54"/>
    <w:rsid w:val="00D822D7"/>
    <w:rsid w:val="00D836BE"/>
    <w:rsid w:val="00D8506C"/>
    <w:rsid w:val="00D85D93"/>
    <w:rsid w:val="00D86F64"/>
    <w:rsid w:val="00D90BE8"/>
    <w:rsid w:val="00D92877"/>
    <w:rsid w:val="00D93A51"/>
    <w:rsid w:val="00DA2F0A"/>
    <w:rsid w:val="00DB1C64"/>
    <w:rsid w:val="00DC1214"/>
    <w:rsid w:val="00DC5D7F"/>
    <w:rsid w:val="00DD0B70"/>
    <w:rsid w:val="00DF3974"/>
    <w:rsid w:val="00DF422D"/>
    <w:rsid w:val="00DF505D"/>
    <w:rsid w:val="00DF51B4"/>
    <w:rsid w:val="00E01504"/>
    <w:rsid w:val="00E12E3B"/>
    <w:rsid w:val="00E16673"/>
    <w:rsid w:val="00E17F45"/>
    <w:rsid w:val="00E227C0"/>
    <w:rsid w:val="00E246C3"/>
    <w:rsid w:val="00E2645C"/>
    <w:rsid w:val="00E30613"/>
    <w:rsid w:val="00E31486"/>
    <w:rsid w:val="00E3214C"/>
    <w:rsid w:val="00E33383"/>
    <w:rsid w:val="00E348A3"/>
    <w:rsid w:val="00E42B64"/>
    <w:rsid w:val="00E42F05"/>
    <w:rsid w:val="00E46AAD"/>
    <w:rsid w:val="00E52F04"/>
    <w:rsid w:val="00E53D37"/>
    <w:rsid w:val="00E71849"/>
    <w:rsid w:val="00E71A93"/>
    <w:rsid w:val="00E7643F"/>
    <w:rsid w:val="00E81501"/>
    <w:rsid w:val="00E824E2"/>
    <w:rsid w:val="00E8402E"/>
    <w:rsid w:val="00E85C9C"/>
    <w:rsid w:val="00E86014"/>
    <w:rsid w:val="00E97713"/>
    <w:rsid w:val="00EB0810"/>
    <w:rsid w:val="00EB15EA"/>
    <w:rsid w:val="00EB4EB7"/>
    <w:rsid w:val="00EB6B53"/>
    <w:rsid w:val="00EB7538"/>
    <w:rsid w:val="00EC2811"/>
    <w:rsid w:val="00EC286C"/>
    <w:rsid w:val="00ED6FD1"/>
    <w:rsid w:val="00EE36F8"/>
    <w:rsid w:val="00EE394D"/>
    <w:rsid w:val="00EE43BA"/>
    <w:rsid w:val="00F01A43"/>
    <w:rsid w:val="00F03EC6"/>
    <w:rsid w:val="00F06775"/>
    <w:rsid w:val="00F138E2"/>
    <w:rsid w:val="00F25114"/>
    <w:rsid w:val="00F34B5A"/>
    <w:rsid w:val="00F4097D"/>
    <w:rsid w:val="00F47861"/>
    <w:rsid w:val="00F47ACC"/>
    <w:rsid w:val="00F54300"/>
    <w:rsid w:val="00F56084"/>
    <w:rsid w:val="00F6317E"/>
    <w:rsid w:val="00F64C32"/>
    <w:rsid w:val="00F65A4A"/>
    <w:rsid w:val="00F65C51"/>
    <w:rsid w:val="00F66569"/>
    <w:rsid w:val="00F707E0"/>
    <w:rsid w:val="00F736EE"/>
    <w:rsid w:val="00F73E28"/>
    <w:rsid w:val="00F7494D"/>
    <w:rsid w:val="00F80ED0"/>
    <w:rsid w:val="00F8270D"/>
    <w:rsid w:val="00F857F3"/>
    <w:rsid w:val="00F91341"/>
    <w:rsid w:val="00F95B1C"/>
    <w:rsid w:val="00FA2523"/>
    <w:rsid w:val="00FA31F9"/>
    <w:rsid w:val="00FA5AC4"/>
    <w:rsid w:val="00FA644A"/>
    <w:rsid w:val="00FA6E22"/>
    <w:rsid w:val="00FB0FC0"/>
    <w:rsid w:val="00FC0A55"/>
    <w:rsid w:val="00FC0C1E"/>
    <w:rsid w:val="00FC0CDC"/>
    <w:rsid w:val="00FC1947"/>
    <w:rsid w:val="00FC29A3"/>
    <w:rsid w:val="00FC4E96"/>
    <w:rsid w:val="00FC618D"/>
    <w:rsid w:val="00FD0AD5"/>
    <w:rsid w:val="00FD0F55"/>
    <w:rsid w:val="00FD3289"/>
    <w:rsid w:val="00FD34E7"/>
    <w:rsid w:val="00FD4C3B"/>
    <w:rsid w:val="00FD5CBA"/>
    <w:rsid w:val="00FD6F28"/>
    <w:rsid w:val="00FE6F01"/>
    <w:rsid w:val="00FF417B"/>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91309-2E58-469E-8CE3-90AB8BB0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A5F"/>
    <w:rPr>
      <w:color w:val="0000FF"/>
      <w:u w:val="single"/>
    </w:rPr>
  </w:style>
  <w:style w:type="paragraph" w:styleId="NormalWeb">
    <w:name w:val="Normal (Web)"/>
    <w:basedOn w:val="Normal"/>
    <w:uiPriority w:val="99"/>
    <w:semiHidden/>
    <w:unhideWhenUsed/>
    <w:rsid w:val="00156A5F"/>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380">
      <w:bodyDiv w:val="1"/>
      <w:marLeft w:val="0"/>
      <w:marRight w:val="0"/>
      <w:marTop w:val="0"/>
      <w:marBottom w:val="0"/>
      <w:divBdr>
        <w:top w:val="none" w:sz="0" w:space="0" w:color="auto"/>
        <w:left w:val="none" w:sz="0" w:space="0" w:color="auto"/>
        <w:bottom w:val="none" w:sz="0" w:space="0" w:color="auto"/>
        <w:right w:val="none" w:sz="0" w:space="0" w:color="auto"/>
      </w:divBdr>
      <w:divsChild>
        <w:div w:id="617638466">
          <w:marLeft w:val="0"/>
          <w:marRight w:val="0"/>
          <w:marTop w:val="0"/>
          <w:marBottom w:val="0"/>
          <w:divBdr>
            <w:top w:val="none" w:sz="0" w:space="0" w:color="auto"/>
            <w:left w:val="none" w:sz="0" w:space="0" w:color="auto"/>
            <w:bottom w:val="none" w:sz="0" w:space="0" w:color="auto"/>
            <w:right w:val="none" w:sz="0" w:space="0" w:color="auto"/>
          </w:divBdr>
          <w:divsChild>
            <w:div w:id="1468279238">
              <w:marLeft w:val="0"/>
              <w:marRight w:val="0"/>
              <w:marTop w:val="0"/>
              <w:marBottom w:val="0"/>
              <w:divBdr>
                <w:top w:val="none" w:sz="0" w:space="0" w:color="auto"/>
                <w:left w:val="none" w:sz="0" w:space="0" w:color="auto"/>
                <w:bottom w:val="none" w:sz="0" w:space="0" w:color="auto"/>
                <w:right w:val="none" w:sz="0" w:space="0" w:color="auto"/>
              </w:divBdr>
              <w:divsChild>
                <w:div w:id="1565405553">
                  <w:marLeft w:val="0"/>
                  <w:marRight w:val="0"/>
                  <w:marTop w:val="0"/>
                  <w:marBottom w:val="0"/>
                  <w:divBdr>
                    <w:top w:val="none" w:sz="0" w:space="0" w:color="auto"/>
                    <w:left w:val="none" w:sz="0" w:space="0" w:color="auto"/>
                    <w:bottom w:val="none" w:sz="0" w:space="0" w:color="auto"/>
                    <w:right w:val="none" w:sz="0" w:space="0" w:color="auto"/>
                  </w:divBdr>
                  <w:divsChild>
                    <w:div w:id="874076719">
                      <w:marLeft w:val="0"/>
                      <w:marRight w:val="0"/>
                      <w:marTop w:val="0"/>
                      <w:marBottom w:val="0"/>
                      <w:divBdr>
                        <w:top w:val="none" w:sz="0" w:space="0" w:color="auto"/>
                        <w:left w:val="none" w:sz="0" w:space="0" w:color="auto"/>
                        <w:bottom w:val="none" w:sz="0" w:space="0" w:color="auto"/>
                        <w:right w:val="none" w:sz="0" w:space="0" w:color="auto"/>
                      </w:divBdr>
                      <w:divsChild>
                        <w:div w:id="1057120534">
                          <w:marLeft w:val="0"/>
                          <w:marRight w:val="0"/>
                          <w:marTop w:val="0"/>
                          <w:marBottom w:val="0"/>
                          <w:divBdr>
                            <w:top w:val="none" w:sz="0" w:space="0" w:color="auto"/>
                            <w:left w:val="none" w:sz="0" w:space="0" w:color="auto"/>
                            <w:bottom w:val="none" w:sz="0" w:space="0" w:color="auto"/>
                            <w:right w:val="none" w:sz="0" w:space="0" w:color="auto"/>
                          </w:divBdr>
                          <w:divsChild>
                            <w:div w:id="1085960228">
                              <w:marLeft w:val="0"/>
                              <w:marRight w:val="0"/>
                              <w:marTop w:val="0"/>
                              <w:marBottom w:val="0"/>
                              <w:divBdr>
                                <w:top w:val="none" w:sz="0" w:space="0" w:color="auto"/>
                                <w:left w:val="none" w:sz="0" w:space="0" w:color="auto"/>
                                <w:bottom w:val="none" w:sz="0" w:space="0" w:color="auto"/>
                                <w:right w:val="none" w:sz="0" w:space="0" w:color="auto"/>
                              </w:divBdr>
                              <w:divsChild>
                                <w:div w:id="612902179">
                                  <w:marLeft w:val="0"/>
                                  <w:marRight w:val="0"/>
                                  <w:marTop w:val="0"/>
                                  <w:marBottom w:val="0"/>
                                  <w:divBdr>
                                    <w:top w:val="none" w:sz="0" w:space="0" w:color="auto"/>
                                    <w:left w:val="none" w:sz="0" w:space="0" w:color="auto"/>
                                    <w:bottom w:val="none" w:sz="0" w:space="0" w:color="auto"/>
                                    <w:right w:val="none" w:sz="0" w:space="0" w:color="auto"/>
                                  </w:divBdr>
                                  <w:divsChild>
                                    <w:div w:id="605116173">
                                      <w:marLeft w:val="0"/>
                                      <w:marRight w:val="0"/>
                                      <w:marTop w:val="0"/>
                                      <w:marBottom w:val="0"/>
                                      <w:divBdr>
                                        <w:top w:val="none" w:sz="0" w:space="0" w:color="auto"/>
                                        <w:left w:val="none" w:sz="0" w:space="0" w:color="auto"/>
                                        <w:bottom w:val="none" w:sz="0" w:space="0" w:color="auto"/>
                                        <w:right w:val="none" w:sz="0" w:space="0" w:color="auto"/>
                                      </w:divBdr>
                                      <w:divsChild>
                                        <w:div w:id="266238058">
                                          <w:marLeft w:val="0"/>
                                          <w:marRight w:val="0"/>
                                          <w:marTop w:val="0"/>
                                          <w:marBottom w:val="0"/>
                                          <w:divBdr>
                                            <w:top w:val="none" w:sz="0" w:space="0" w:color="auto"/>
                                            <w:left w:val="none" w:sz="0" w:space="0" w:color="auto"/>
                                            <w:bottom w:val="none" w:sz="0" w:space="0" w:color="auto"/>
                                            <w:right w:val="none" w:sz="0" w:space="0" w:color="auto"/>
                                          </w:divBdr>
                                          <w:divsChild>
                                            <w:div w:id="692271242">
                                              <w:marLeft w:val="0"/>
                                              <w:marRight w:val="0"/>
                                              <w:marTop w:val="0"/>
                                              <w:marBottom w:val="0"/>
                                              <w:divBdr>
                                                <w:top w:val="none" w:sz="0" w:space="0" w:color="auto"/>
                                                <w:left w:val="none" w:sz="0" w:space="0" w:color="auto"/>
                                                <w:bottom w:val="none" w:sz="0" w:space="0" w:color="auto"/>
                                                <w:right w:val="none" w:sz="0" w:space="0" w:color="auto"/>
                                              </w:divBdr>
                                              <w:divsChild>
                                                <w:div w:id="971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tkmrugm/ordonanta-de-urgenta-nr-88-2013-privind-adoptarea-unor-masuri-fiscal-bugetare-pentru-indeplinirea-unor-angajamente-convenite-cu-organismele-internationale-precum-si-pentru-modificarea-si-completarea-u?pid=276526641&amp;d=2019-01-11" TargetMode="External"/><Relationship Id="rId3" Type="http://schemas.openxmlformats.org/officeDocument/2006/relationships/webSettings" Target="webSettings.xml"/><Relationship Id="rId7" Type="http://schemas.openxmlformats.org/officeDocument/2006/relationships/hyperlink" Target="https://lege5.ro/Gratuit/gm3tkmrugm/ordonanta-de-urgenta-nr-88-2013-privind-adoptarea-unor-masuri-fiscal-bugetare-pentru-indeplinirea-unor-angajamente-convenite-cu-organismele-internationale-precum-si-pentru-modificarea-si-completarea-u?pid=276526640&amp;d=2019-0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mytimzvgy2q/art-70-modificarea-si-completarea-unor-acte-normative-ordonanta-de-urgenta-114-2018?dp=gi3tmnbygm3dqny" TargetMode="External"/><Relationship Id="rId11" Type="http://schemas.openxmlformats.org/officeDocument/2006/relationships/theme" Target="theme/theme1.xml"/><Relationship Id="rId5" Type="http://schemas.openxmlformats.org/officeDocument/2006/relationships/hyperlink" Target="http://legislatie.just.ro/Public/DetaliiDocumentAfis/197021" TargetMode="External"/><Relationship Id="rId10" Type="http://schemas.openxmlformats.org/officeDocument/2006/relationships/fontTable" Target="fontTable.xml"/><Relationship Id="rId4" Type="http://schemas.openxmlformats.org/officeDocument/2006/relationships/hyperlink" Target="http://legislatie.just.ro/Public/DetaliiDocumentAfis/197022" TargetMode="External"/><Relationship Id="rId9" Type="http://schemas.openxmlformats.org/officeDocument/2006/relationships/hyperlink" Target="https://lege5.ro/Gratuit/gm4tgmbyha/legea-nr-25-2014-pentru-aprobarea-ordonantei-de-urgenta-a-guvernului-nr-88-2013-privind-adoptarea-unor-masuri-fiscal-bugetare-pentru-indeplinirea-unor-angajamente-convenite-cu-organismele-internationa?d=2019-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1887</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2019-01-16T08:58:00Z</dcterms:created>
  <dcterms:modified xsi:type="dcterms:W3CDTF">2019-01-16T09:01:00Z</dcterms:modified>
</cp:coreProperties>
</file>